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B1103" w14:textId="036B71A4" w:rsidR="003154C3" w:rsidRDefault="009F236A" w:rsidP="006E5145">
      <w:pPr>
        <w:pStyle w:val="Title"/>
        <w:rPr>
          <w:shd w:val="clear" w:color="auto" w:fill="FFFFFF"/>
        </w:rPr>
      </w:pPr>
      <w:r>
        <w:rPr>
          <w:shd w:val="clear" w:color="auto" w:fill="FFFFFF"/>
        </w:rPr>
        <w:t>A longitudinal understanding of m</w:t>
      </w:r>
      <w:r w:rsidR="003154C3">
        <w:rPr>
          <w:shd w:val="clear" w:color="auto" w:fill="FFFFFF"/>
        </w:rPr>
        <w:t>ethodologies, methods, and practice</w:t>
      </w:r>
      <w:r w:rsidR="0003332D">
        <w:rPr>
          <w:shd w:val="clear" w:color="auto" w:fill="FFFFFF"/>
        </w:rPr>
        <w:t>s</w:t>
      </w:r>
    </w:p>
    <w:p w14:paraId="6B1BF292" w14:textId="77777777" w:rsidR="003154C3" w:rsidRDefault="003154C3" w:rsidP="003154C3">
      <w:pPr>
        <w:rPr>
          <w:rFonts w:eastAsia="Times New Roman" w:cs="Times New Roman"/>
          <w:color w:val="1A1A1A"/>
          <w:sz w:val="25"/>
          <w:szCs w:val="25"/>
          <w:shd w:val="clear" w:color="auto" w:fill="FFFFFF"/>
        </w:rPr>
      </w:pPr>
    </w:p>
    <w:p w14:paraId="68FD06B9" w14:textId="77777777" w:rsidR="003154C3" w:rsidRDefault="003154C3" w:rsidP="003154C3">
      <w:pPr>
        <w:rPr>
          <w:rFonts w:eastAsia="Times New Roman" w:cs="Times New Roman"/>
          <w:color w:val="1A1A1A"/>
          <w:sz w:val="25"/>
          <w:szCs w:val="25"/>
          <w:shd w:val="clear" w:color="auto" w:fill="FFFFFF"/>
        </w:rPr>
      </w:pPr>
    </w:p>
    <w:p w14:paraId="629F3E2F" w14:textId="77777777" w:rsidR="003154C3" w:rsidRDefault="003154C3" w:rsidP="003154C3">
      <w:pPr>
        <w:pStyle w:val="epigram"/>
      </w:pPr>
      <w:r w:rsidRPr="00E92992">
        <w:t xml:space="preserve">I found myself beset by so many doubts and errors that </w:t>
      </w:r>
    </w:p>
    <w:p w14:paraId="4B0E5575" w14:textId="77777777" w:rsidR="003154C3" w:rsidRDefault="003154C3" w:rsidP="003154C3">
      <w:pPr>
        <w:pStyle w:val="epigram"/>
      </w:pPr>
      <w:r w:rsidRPr="00E92992">
        <w:t>I came to think I had gained nothing from my attempts</w:t>
      </w:r>
    </w:p>
    <w:p w14:paraId="31C71C46" w14:textId="2EF52B06" w:rsidR="003154C3" w:rsidRDefault="003154C3" w:rsidP="003154C3">
      <w:pPr>
        <w:pStyle w:val="epigram"/>
      </w:pPr>
      <w:r w:rsidRPr="00E92992">
        <w:t xml:space="preserve"> to become educated but increasing recognition of my ignorance</w:t>
      </w:r>
      <w:r w:rsidR="0043364C">
        <w:t>.</w:t>
      </w:r>
    </w:p>
    <w:p w14:paraId="5A7F06FD" w14:textId="4F7C1ED8" w:rsidR="004E25BE" w:rsidRDefault="003154C3" w:rsidP="003154C3">
      <w:pPr>
        <w:pStyle w:val="epigram"/>
      </w:pPr>
      <w:r>
        <w:t xml:space="preserve">Descartes </w:t>
      </w:r>
      <w:r w:rsidRPr="00E92992">
        <w:t>(6:4) </w:t>
      </w:r>
    </w:p>
    <w:p w14:paraId="3B75F4E0" w14:textId="37400912" w:rsidR="003154C3" w:rsidRDefault="003154C3" w:rsidP="003154C3">
      <w:pPr>
        <w:pStyle w:val="epigram"/>
      </w:pPr>
    </w:p>
    <w:p w14:paraId="3F57C8AA" w14:textId="6C920B9D" w:rsidR="003154C3" w:rsidRDefault="003154C3" w:rsidP="003154C3">
      <w:r>
        <w:t xml:space="preserve">When I first started this project </w:t>
      </w:r>
      <w:r w:rsidR="00E5663B">
        <w:t>(</w:t>
      </w:r>
      <w:r w:rsidR="00850D69" w:rsidRPr="002163A8">
        <w:rPr>
          <w:i/>
          <w:iCs/>
        </w:rPr>
        <w:t>ca</w:t>
      </w:r>
      <w:r w:rsidR="00E5663B">
        <w:t>.</w:t>
      </w:r>
      <w:r w:rsidR="00850D69">
        <w:t xml:space="preserve"> 2007</w:t>
      </w:r>
      <w:r w:rsidR="00E5663B">
        <w:t>)</w:t>
      </w:r>
      <w:r>
        <w:t xml:space="preserve">, I often wondered why so little field-wide programmatic research had been completed since the last edition of </w:t>
      </w:r>
      <w:r w:rsidRPr="003154C3">
        <w:rPr>
          <w:i/>
          <w:iCs/>
        </w:rPr>
        <w:t>Programs that work</w:t>
      </w:r>
      <w:r>
        <w:t xml:space="preserve"> (1997). But as I dived in and began collecting programmatic information, it only took me a few hours to understand why. This type of </w:t>
      </w:r>
      <w:r w:rsidR="00E5663B">
        <w:t>research</w:t>
      </w:r>
      <w:r>
        <w:t xml:space="preserve"> is painstaking, detail oriented, and ridiculously, time consuming. </w:t>
      </w:r>
      <w:r w:rsidR="003311BD">
        <w:t>(</w:t>
      </w:r>
      <w:proofErr w:type="gramStart"/>
      <w:r w:rsidR="003311BD">
        <w:t>Or,</w:t>
      </w:r>
      <w:proofErr w:type="gramEnd"/>
      <w:r w:rsidR="003311BD">
        <w:t xml:space="preserve"> it is the way I d</w:t>
      </w:r>
      <w:r w:rsidR="001B649E">
        <w:t>id</w:t>
      </w:r>
      <w:r w:rsidR="003311BD">
        <w:t xml:space="preserve"> it.) </w:t>
      </w:r>
      <w:r>
        <w:t>Added to that, the epigram from Descartes</w:t>
      </w:r>
      <w:r w:rsidR="00687A0C">
        <w:t>’</w:t>
      </w:r>
      <w:r>
        <w:t xml:space="preserve"> autobiographical statement brings into stark focus the mental and intellectual feelings attached to both a longitudinal study and one based on so much data. The doubts and errors, the constant flux of TPC programs, and the time involved to do strong programmatic research often had me wondering if I should continue this strand of scholarship or abandon it altogether. </w:t>
      </w:r>
    </w:p>
    <w:p w14:paraId="69917E4A" w14:textId="77777777" w:rsidR="003154C3" w:rsidRDefault="003154C3" w:rsidP="003154C3"/>
    <w:p w14:paraId="16740292" w14:textId="612B9724" w:rsidR="003154C3" w:rsidRDefault="003154C3" w:rsidP="003154C3">
      <w:r>
        <w:t>As this book attests, I did not abandon programmatic research, but I would never have dreamed it would have taken me 1</w:t>
      </w:r>
      <w:r w:rsidR="00A00AE2">
        <w:t>6</w:t>
      </w:r>
      <w:r>
        <w:t xml:space="preserve"> years for all the (updated) data and thinking to find its way into the world </w:t>
      </w:r>
      <w:r w:rsidR="00DB2827">
        <w:t>as a singular, comprehensive entity</w:t>
      </w:r>
      <w:r>
        <w:t xml:space="preserve">. When I started this work for what </w:t>
      </w:r>
      <w:r w:rsidR="00687A0C">
        <w:t>became the</w:t>
      </w:r>
      <w:r>
        <w:t xml:space="preserve"> first article I published </w:t>
      </w:r>
      <w:r w:rsidR="00DB2827">
        <w:t xml:space="preserve">on programmatic data </w:t>
      </w:r>
      <w:r>
        <w:t>(</w:t>
      </w:r>
      <w:r w:rsidR="003311BD">
        <w:t>Melonçon</w:t>
      </w:r>
      <w:r>
        <w:t xml:space="preserve">, 2009), I knew little about higher education, program </w:t>
      </w:r>
      <w:r w:rsidR="00DB2827">
        <w:t>and</w:t>
      </w:r>
      <w:r>
        <w:t xml:space="preserve"> course design, </w:t>
      </w:r>
      <w:r w:rsidR="00DB2827">
        <w:t xml:space="preserve">or </w:t>
      </w:r>
      <w:r>
        <w:t xml:space="preserve">institutional structures. In other words, part of my </w:t>
      </w:r>
      <w:r w:rsidRPr="008A28FF">
        <w:t>reflexive methodology</w:t>
      </w:r>
      <w:r w:rsidR="00DB2827" w:rsidRPr="008A28FF">
        <w:rPr>
          <w:rStyle w:val="FootnoteReference"/>
        </w:rPr>
        <w:footnoteReference w:id="2"/>
      </w:r>
      <w:r>
        <w:t xml:space="preserve"> meant that the research study design </w:t>
      </w:r>
      <w:r w:rsidR="00025FA6">
        <w:t xml:space="preserve">of this project </w:t>
      </w:r>
      <w:r>
        <w:t xml:space="preserve">underwent minor </w:t>
      </w:r>
      <w:r w:rsidR="00025FA6">
        <w:t xml:space="preserve">and major </w:t>
      </w:r>
      <w:r>
        <w:t xml:space="preserve">reconfigurations on several occasions. </w:t>
      </w:r>
      <w:r w:rsidR="00687A0C">
        <w:t>These changes were</w:t>
      </w:r>
      <w:r>
        <w:t xml:space="preserve"> a result of on-the-job training—I was learning about programs in practice while I was researching them</w:t>
      </w:r>
      <w:r w:rsidR="00687A0C">
        <w:t>.</w:t>
      </w:r>
      <w:r w:rsidR="00025FA6">
        <w:t xml:space="preserve"> </w:t>
      </w:r>
      <w:r w:rsidR="00E5663B">
        <w:t>At the same time</w:t>
      </w:r>
      <w:r>
        <w:t>, I was learning about higher education structures and institutional limitations that all have an impact on the final configuration of any curricul</w:t>
      </w:r>
      <w:r w:rsidR="00025FA6">
        <w:t>um</w:t>
      </w:r>
      <w:r>
        <w:t xml:space="preserve">. </w:t>
      </w:r>
      <w:r w:rsidR="00687A0C">
        <w:t>Even though</w:t>
      </w:r>
      <w:r>
        <w:t xml:space="preserve"> the research reported here does not delve into the nuances</w:t>
      </w:r>
      <w:r w:rsidR="00DB2827">
        <w:t xml:space="preserve"> of </w:t>
      </w:r>
      <w:r w:rsidR="003311BD">
        <w:t xml:space="preserve">different </w:t>
      </w:r>
      <w:r w:rsidR="00DB2827">
        <w:t>institution</w:t>
      </w:r>
      <w:r w:rsidR="00687A0C">
        <w:t>al structures</w:t>
      </w:r>
      <w:r>
        <w:t xml:space="preserve">, it is important to have on record because </w:t>
      </w:r>
      <w:r w:rsidR="00DB2827">
        <w:t xml:space="preserve">institutional limitations and barriers, departmental configurations, and faculty understanding of programs </w:t>
      </w:r>
      <w:r>
        <w:t xml:space="preserve">did influence the way I gathered data, the attention paid to it as it was coded, and the conclusions drawn from the data. </w:t>
      </w:r>
    </w:p>
    <w:p w14:paraId="0801ED4C" w14:textId="4CF93F4C" w:rsidR="003154C3" w:rsidRDefault="003154C3" w:rsidP="003154C3"/>
    <w:p w14:paraId="73B4EE69" w14:textId="7321E5F6" w:rsidR="006E5145" w:rsidRDefault="003154C3" w:rsidP="006E5145">
      <w:r>
        <w:t xml:space="preserve">When I use the phrase research study design, I refer </w:t>
      </w:r>
      <w:r w:rsidRPr="00AD25DA">
        <w:t xml:space="preserve">to </w:t>
      </w:r>
      <w:r w:rsidR="00AD25DA">
        <w:t>“</w:t>
      </w:r>
      <w:r w:rsidR="00AD25DA" w:rsidRPr="00AD25DA">
        <w:t xml:space="preserve">a comprehensive plan that provides the rationale and justification for methodology, methods, and practices with an </w:t>
      </w:r>
      <w:r w:rsidR="00AD25DA" w:rsidRPr="00AD25DA">
        <w:lastRenderedPageBreak/>
        <w:t>intense and transparent focus on ethics. The study design should serve as the roadmap for the research project and remain flexible enough to change when situations arise during the research project</w:t>
      </w:r>
      <w:r w:rsidR="006E5145">
        <w:t xml:space="preserve">” (Melonçon, </w:t>
      </w:r>
      <w:r w:rsidR="00AD25DA" w:rsidRPr="008D35B2">
        <w:t>2018</w:t>
      </w:r>
      <w:r w:rsidR="008D35B2">
        <w:t>a,</w:t>
      </w:r>
      <w:r w:rsidR="00AD25DA">
        <w:t xml:space="preserve"> </w:t>
      </w:r>
      <w:r w:rsidR="00AD25DA" w:rsidRPr="00AD25DA">
        <w:t>p. 213)</w:t>
      </w:r>
      <w:r w:rsidR="006E5145">
        <w:t xml:space="preserve">. This definition </w:t>
      </w:r>
      <w:r w:rsidR="00AC3D1B">
        <w:t>evolved</w:t>
      </w:r>
      <w:r w:rsidR="006E5145">
        <w:t xml:space="preserve"> </w:t>
      </w:r>
      <w:r w:rsidR="003311BD">
        <w:t xml:space="preserve">from </w:t>
      </w:r>
      <w:r w:rsidR="006E5145">
        <w:t xml:space="preserve">the struggles and changes that occurred during this programmatic project. The research </w:t>
      </w:r>
      <w:r>
        <w:t xml:space="preserve">study design and data collection has been messy and iterative, and it was not until the </w:t>
      </w:r>
      <w:r w:rsidR="003311BD">
        <w:t>middle</w:t>
      </w:r>
      <w:r>
        <w:t xml:space="preserve"> stages of the project </w:t>
      </w:r>
      <w:r w:rsidR="006E5145">
        <w:t>(</w:t>
      </w:r>
      <w:r w:rsidR="006E5145" w:rsidRPr="002163A8">
        <w:rPr>
          <w:i/>
          <w:iCs/>
        </w:rPr>
        <w:t>ca</w:t>
      </w:r>
      <w:r w:rsidR="006E5145">
        <w:t xml:space="preserve">. 2016) </w:t>
      </w:r>
      <w:r>
        <w:t>that I had landed on a process that made sense</w:t>
      </w:r>
      <w:r w:rsidR="006E5145">
        <w:t xml:space="preserve"> for gathering</w:t>
      </w:r>
      <w:r w:rsidR="00DB2827">
        <w:t xml:space="preserve">, </w:t>
      </w:r>
      <w:r w:rsidR="006E5145">
        <w:t>compiling</w:t>
      </w:r>
      <w:r w:rsidR="00875851">
        <w:t xml:space="preserve">, and </w:t>
      </w:r>
      <w:r w:rsidR="00DB2827">
        <w:t>classifying the data</w:t>
      </w:r>
      <w:r>
        <w:t xml:space="preserve">. </w:t>
      </w:r>
      <w:r w:rsidR="006E5145">
        <w:t xml:space="preserve">I explain more of the study design’s history in the </w:t>
      </w:r>
      <w:r w:rsidR="008D35B2">
        <w:t xml:space="preserve">“Methods” and </w:t>
      </w:r>
      <w:r w:rsidR="006E5145">
        <w:t xml:space="preserve">“Practices” </w:t>
      </w:r>
      <w:r w:rsidR="00DB2827">
        <w:t xml:space="preserve">section </w:t>
      </w:r>
      <w:r w:rsidR="006E5145">
        <w:t>that follows</w:t>
      </w:r>
      <w:r w:rsidR="00E5663B">
        <w:t xml:space="preserve">. </w:t>
      </w:r>
      <w:r w:rsidR="00DB7C26">
        <w:t>W</w:t>
      </w:r>
      <w:r w:rsidR="006E5145">
        <w:t xml:space="preserve">hat is often absent from </w:t>
      </w:r>
      <w:r w:rsidR="00E5663B">
        <w:t>the</w:t>
      </w:r>
      <w:r w:rsidR="006E5145">
        <w:t xml:space="preserve"> final</w:t>
      </w:r>
      <w:r w:rsidR="00E5663B">
        <w:t>, polished versions of</w:t>
      </w:r>
      <w:r w:rsidR="006E5145">
        <w:t xml:space="preserve"> articles, chapters, or books are the many steps along the way that impact what the final product looks like. Uncovering and making more transparent this messiness enables our research to become more </w:t>
      </w:r>
      <w:r w:rsidR="00DB2827">
        <w:t>sustainable (</w:t>
      </w:r>
      <w:r w:rsidR="00284D32">
        <w:t>Melonçon</w:t>
      </w:r>
      <w:r w:rsidR="00DB2827">
        <w:t xml:space="preserve"> &amp; </w:t>
      </w:r>
      <w:proofErr w:type="gramStart"/>
      <w:r w:rsidR="00DB2827">
        <w:t>St.Amant</w:t>
      </w:r>
      <w:proofErr w:type="gramEnd"/>
      <w:r w:rsidR="00DB2827">
        <w:t xml:space="preserve"> 2019</w:t>
      </w:r>
      <w:r w:rsidR="00025FA6">
        <w:t>) and durable (</w:t>
      </w:r>
      <w:proofErr w:type="gramStart"/>
      <w:r w:rsidR="00DB2827">
        <w:t>St.Amant</w:t>
      </w:r>
      <w:proofErr w:type="gramEnd"/>
      <w:r w:rsidR="00DB2827">
        <w:t xml:space="preserve"> &amp; Graham, 2019).</w:t>
      </w:r>
      <w:r w:rsidR="00025FA6">
        <w:rPr>
          <w:rStyle w:val="FootnoteReference"/>
        </w:rPr>
        <w:footnoteReference w:id="3"/>
      </w:r>
      <w:r w:rsidR="00DB2827">
        <w:t xml:space="preserve"> </w:t>
      </w:r>
      <w:r w:rsidR="006E5145">
        <w:t xml:space="preserve"> </w:t>
      </w:r>
    </w:p>
    <w:p w14:paraId="75DC1DE7" w14:textId="187426E6" w:rsidR="009F236A" w:rsidRDefault="009F236A" w:rsidP="006E5145"/>
    <w:p w14:paraId="4CCA13BE" w14:textId="5DFBC3E4" w:rsidR="00307942" w:rsidRDefault="009F236A" w:rsidP="006E5145">
      <w:r>
        <w:t xml:space="preserve">Researcher positionality has </w:t>
      </w:r>
      <w:r w:rsidR="007C5EC2">
        <w:t xml:space="preserve">become more prominent not only </w:t>
      </w:r>
      <w:r w:rsidR="00AC3D1B">
        <w:t xml:space="preserve">in </w:t>
      </w:r>
      <w:r w:rsidR="007C5EC2">
        <w:t xml:space="preserve">published work, but in how </w:t>
      </w:r>
      <w:r w:rsidR="008A28FF">
        <w:t>the big tent of writing studies</w:t>
      </w:r>
      <w:r w:rsidR="007C5EC2">
        <w:t xml:space="preserve"> is training new scholars (</w:t>
      </w:r>
      <w:proofErr w:type="spellStart"/>
      <w:r w:rsidR="007C5EC2">
        <w:t>e.g</w:t>
      </w:r>
      <w:proofErr w:type="spellEnd"/>
      <w:r w:rsidR="007C5EC2">
        <w:t>,</w:t>
      </w:r>
      <w:r w:rsidR="001B649E">
        <w:rPr>
          <w:rStyle w:val="FootnoteReference"/>
        </w:rPr>
        <w:footnoteReference w:id="4"/>
      </w:r>
      <w:r w:rsidR="007C5EC2">
        <w:t xml:space="preserve"> Cedillo &amp; </w:t>
      </w:r>
      <w:r w:rsidR="00A00AE2">
        <w:t>B</w:t>
      </w:r>
      <w:r w:rsidR="007C5EC2">
        <w:t>ratta, 2019; Small, 2022; VanKooten &amp; Del Hierro, 2022</w:t>
      </w:r>
      <w:r w:rsidR="00893B5B">
        <w:t>)</w:t>
      </w:r>
      <w:r w:rsidR="007C5EC2">
        <w:t xml:space="preserve">. Positionality </w:t>
      </w:r>
      <w:r w:rsidR="007C5EC2" w:rsidRPr="007C5EC2">
        <w:t>“refers to the stance or positioning of the researcher in relation to the social and political context of the study” (</w:t>
      </w:r>
      <w:r w:rsidR="00A00AE2">
        <w:t>Coghlan &amp; Brydon-Miller, 2014,</w:t>
      </w:r>
      <w:r w:rsidR="00284D32">
        <w:t xml:space="preserve"> </w:t>
      </w:r>
      <w:r w:rsidR="00A00AE2">
        <w:t>p.</w:t>
      </w:r>
      <w:r w:rsidR="00AC3D1B">
        <w:t xml:space="preserve"> </w:t>
      </w:r>
      <w:r w:rsidR="00A00AE2">
        <w:t>628</w:t>
      </w:r>
      <w:r w:rsidR="007C5EC2" w:rsidRPr="007C5EC2">
        <w:t>)</w:t>
      </w:r>
      <w:r w:rsidR="007C5EC2">
        <w:t xml:space="preserve">. As scholars </w:t>
      </w:r>
      <w:r w:rsidR="00284D32">
        <w:t xml:space="preserve">in TPC </w:t>
      </w:r>
      <w:r w:rsidR="008D35B2">
        <w:t xml:space="preserve">(e.g., Bay, 2019; </w:t>
      </w:r>
      <w:r w:rsidR="008D35B2" w:rsidRPr="00782602">
        <w:t>Gouge &amp; Carlson, 2022</w:t>
      </w:r>
      <w:r w:rsidR="00AC3D1B">
        <w:t xml:space="preserve">; </w:t>
      </w:r>
      <w:r w:rsidR="008D35B2" w:rsidRPr="00DB7C26">
        <w:t xml:space="preserve">Melonçon, 2022) </w:t>
      </w:r>
      <w:r w:rsidR="00284D32">
        <w:t>and</w:t>
      </w:r>
      <w:r w:rsidR="007C5EC2">
        <w:t xml:space="preserve"> across discipline</w:t>
      </w:r>
      <w:r w:rsidR="00DB7C26">
        <w:t>s</w:t>
      </w:r>
      <w:r w:rsidR="00DB7C26" w:rsidRPr="00DB7C26">
        <w:rPr>
          <w:rFonts w:ascii="Calibri" w:eastAsia="Times New Roman" w:hAnsi="Calibri" w:cs="Calibri"/>
          <w:color w:val="000000"/>
        </w:rPr>
        <w:t xml:space="preserve"> </w:t>
      </w:r>
      <w:r w:rsidR="008D35B2">
        <w:t xml:space="preserve">(e.g., </w:t>
      </w:r>
      <w:proofErr w:type="spellStart"/>
      <w:r w:rsidR="00DB7C26" w:rsidRPr="00DB7C26">
        <w:t>Cobhman</w:t>
      </w:r>
      <w:proofErr w:type="spellEnd"/>
      <w:r w:rsidR="00DB7C26" w:rsidRPr="00DB7C26">
        <w:t xml:space="preserve">, 2020; </w:t>
      </w:r>
      <w:proofErr w:type="spellStart"/>
      <w:r w:rsidR="008D35B2">
        <w:t>Jolivétte</w:t>
      </w:r>
      <w:proofErr w:type="spellEnd"/>
      <w:r w:rsidR="008D35B2">
        <w:t xml:space="preserve">, 2015; </w:t>
      </w:r>
      <w:r w:rsidR="002163A8">
        <w:t>Criado-</w:t>
      </w:r>
      <w:r w:rsidR="00DB7C26" w:rsidRPr="00DB7C26">
        <w:t>Perez, 2019</w:t>
      </w:r>
      <w:r w:rsidR="008D35B2">
        <w:t>)</w:t>
      </w:r>
      <w:r w:rsidR="007C5EC2">
        <w:t xml:space="preserve"> want to conduct more just research, positionality allows readers to understand where the research is coming from and the role of the researcher in the project. </w:t>
      </w:r>
      <w:r w:rsidR="00307942">
        <w:t>T</w:t>
      </w:r>
      <w:r w:rsidR="00DE20EC">
        <w:t>hree</w:t>
      </w:r>
      <w:r w:rsidR="00307942">
        <w:t xml:space="preserve"> aspects of my own positionality are vital </w:t>
      </w:r>
      <w:r w:rsidR="00E5663B">
        <w:t>to</w:t>
      </w:r>
      <w:r w:rsidR="00307942">
        <w:t xml:space="preserve"> understanding this project. First, my experience as a practicing technical communicator has influenced this project. I have been vocal that academic TPC cannot and should not separate itself from TPC in practice, outside of higher education. Because I still consult regularly, not only have </w:t>
      </w:r>
      <w:r w:rsidR="00025FA6">
        <w:t xml:space="preserve">I </w:t>
      </w:r>
      <w:r w:rsidR="00307942">
        <w:t xml:space="preserve">seen changes in curricula over the life of this project, </w:t>
      </w:r>
      <w:r w:rsidR="00893B5B">
        <w:t xml:space="preserve">but </w:t>
      </w:r>
      <w:r w:rsidR="00307942">
        <w:t xml:space="preserve">I have </w:t>
      </w:r>
      <w:r w:rsidR="00893B5B">
        <w:t xml:space="preserve">also </w:t>
      </w:r>
      <w:r w:rsidR="00307942">
        <w:t>see</w:t>
      </w:r>
      <w:r w:rsidR="00893B5B">
        <w:t>n</w:t>
      </w:r>
      <w:r w:rsidR="00307942">
        <w:t xml:space="preserve"> changes in the world of work over the life of this project.</w:t>
      </w:r>
      <w:r w:rsidR="00307942">
        <w:rPr>
          <w:rStyle w:val="FootnoteReference"/>
        </w:rPr>
        <w:footnoteReference w:id="5"/>
      </w:r>
    </w:p>
    <w:p w14:paraId="447C9467" w14:textId="77777777" w:rsidR="00307942" w:rsidRDefault="00307942" w:rsidP="006E5145"/>
    <w:p w14:paraId="1D0BFBD5" w14:textId="41D9BD67" w:rsidR="00025FA6" w:rsidRDefault="00307942" w:rsidP="006E5145">
      <w:r>
        <w:t xml:space="preserve">Second, the life of this project can be </w:t>
      </w:r>
      <w:r w:rsidR="00CC3394">
        <w:t>traced</w:t>
      </w:r>
      <w:r>
        <w:t xml:space="preserve"> </w:t>
      </w:r>
      <w:r w:rsidR="00633410">
        <w:t xml:space="preserve">through a </w:t>
      </w:r>
      <w:r>
        <w:t xml:space="preserve">timeline </w:t>
      </w:r>
      <w:r w:rsidR="00E33459">
        <w:t xml:space="preserve">of </w:t>
      </w:r>
      <w:r w:rsidR="00633410">
        <w:t xml:space="preserve">my </w:t>
      </w:r>
      <w:r w:rsidR="00CC3394">
        <w:t xml:space="preserve">published </w:t>
      </w:r>
      <w:r w:rsidR="00633410">
        <w:t xml:space="preserve">research </w:t>
      </w:r>
      <w:r w:rsidR="00CC3394">
        <w:t xml:space="preserve">on </w:t>
      </w:r>
      <w:r>
        <w:t>programmatic and pedagogical research</w:t>
      </w:r>
      <w:r w:rsidR="00AC3D1B">
        <w:t>.</w:t>
      </w:r>
      <w:r w:rsidR="00AC3D1B">
        <w:rPr>
          <w:rStyle w:val="FootnoteReference"/>
        </w:rPr>
        <w:footnoteReference w:id="6"/>
      </w:r>
      <w:r w:rsidR="00AC3D1B">
        <w:t xml:space="preserve"> </w:t>
      </w:r>
      <w:r w:rsidR="00E33459">
        <w:t xml:space="preserve">The trajectory of this work shows how my thinking and research practice changed through time in both depth and nuance. Or I hope it has. </w:t>
      </w:r>
      <w:r w:rsidR="00E5663B">
        <w:t>S</w:t>
      </w:r>
      <w:r>
        <w:t>ome de</w:t>
      </w:r>
      <w:r w:rsidR="00E33459">
        <w:t>c</w:t>
      </w:r>
      <w:r>
        <w:t xml:space="preserve">isions have remained constant from the beginning </w:t>
      </w:r>
      <w:r w:rsidR="003F00F5">
        <w:t xml:space="preserve">such as </w:t>
      </w:r>
      <w:r>
        <w:t>using university catalogs as the primary record</w:t>
      </w:r>
      <w:r w:rsidR="00633410">
        <w:t xml:space="preserve"> for curricular data</w:t>
      </w:r>
      <w:r w:rsidR="003F00F5">
        <w:t>, but</w:t>
      </w:r>
      <w:r>
        <w:t xml:space="preserve"> the information gathered has been tweaked as my own thinking grew and changed. For example, initially I did not distinguish if a program was online. My related research into online writing instruction prompted me to make notations of that, which is a hidden point because even the first publication included information about fully online masters’ degrees. But I had to double </w:t>
      </w:r>
      <w:r>
        <w:lastRenderedPageBreak/>
        <w:t xml:space="preserve">back and do work twice to gather that information after I had already gathered the initial programmatic data. </w:t>
      </w:r>
    </w:p>
    <w:p w14:paraId="0A0BE881" w14:textId="77777777" w:rsidR="00025FA6" w:rsidRDefault="00025FA6" w:rsidP="006E5145"/>
    <w:p w14:paraId="358E40CB" w14:textId="3A7CD834" w:rsidR="00893B5B" w:rsidRDefault="00307942" w:rsidP="006E5145">
      <w:r>
        <w:t>Relatedly, some of my own thinking has shifted over time</w:t>
      </w:r>
      <w:r w:rsidR="00633410">
        <w:t xml:space="preserve">. </w:t>
      </w:r>
      <w:r>
        <w:t xml:space="preserve">For example, the collaborative </w:t>
      </w:r>
      <w:r w:rsidR="00025FA6">
        <w:t>article</w:t>
      </w:r>
      <w:r>
        <w:t xml:space="preserve"> I wrote with Kathy Rentz and Mary Beth Debs</w:t>
      </w:r>
      <w:r w:rsidR="006A3686">
        <w:t xml:space="preserve"> (2010) advocated for </w:t>
      </w:r>
      <w:r w:rsidR="00633410">
        <w:t xml:space="preserve">and described </w:t>
      </w:r>
      <w:r w:rsidR="006A3686">
        <w:t xml:space="preserve">how </w:t>
      </w:r>
      <w:r w:rsidR="00633410">
        <w:t xml:space="preserve">a TPC program can </w:t>
      </w:r>
      <w:r w:rsidR="006A3686">
        <w:t>survive and thrive in an English department. I love and hate that piece</w:t>
      </w:r>
      <w:r w:rsidR="00893B5B">
        <w:t xml:space="preserve">, which I even noted </w:t>
      </w:r>
      <w:r w:rsidR="00633410">
        <w:t>a few years later</w:t>
      </w:r>
      <w:r w:rsidR="00893B5B">
        <w:t xml:space="preserve"> (Melonçon, </w:t>
      </w:r>
      <w:r w:rsidR="00893B5B" w:rsidRPr="002268B2">
        <w:t>2014</w:t>
      </w:r>
      <w:r w:rsidR="00025FA6" w:rsidRPr="002268B2">
        <w:t xml:space="preserve">, pp. </w:t>
      </w:r>
      <w:r w:rsidR="002268B2" w:rsidRPr="002268B2">
        <w:t>187-188</w:t>
      </w:r>
      <w:r w:rsidR="00893B5B" w:rsidRPr="002268B2">
        <w:t>).</w:t>
      </w:r>
      <w:r w:rsidR="00893B5B">
        <w:t xml:space="preserve"> </w:t>
      </w:r>
      <w:r w:rsidR="00633410">
        <w:t xml:space="preserve">Should I write it again today, </w:t>
      </w:r>
      <w:r w:rsidR="006A3686">
        <w:t xml:space="preserve">I would write it differently with more of a focus on </w:t>
      </w:r>
      <w:r w:rsidR="002268B2">
        <w:t xml:space="preserve">the responsibilities and support that </w:t>
      </w:r>
      <w:r w:rsidR="006A3686">
        <w:t xml:space="preserve">other parts of the department and university can </w:t>
      </w:r>
      <w:r w:rsidR="002268B2">
        <w:t xml:space="preserve">do to </w:t>
      </w:r>
      <w:r w:rsidR="006A3686">
        <w:t>help sustain TPC programs</w:t>
      </w:r>
      <w:r w:rsidR="00025FA6">
        <w:t>.</w:t>
      </w:r>
      <w:r w:rsidR="00875851">
        <w:rPr>
          <w:rStyle w:val="FootnoteReference"/>
        </w:rPr>
        <w:footnoteReference w:id="7"/>
      </w:r>
    </w:p>
    <w:p w14:paraId="0AD70304" w14:textId="759B6247" w:rsidR="00D32EB3" w:rsidRDefault="00D32EB3" w:rsidP="006E5145"/>
    <w:p w14:paraId="20219F26" w14:textId="00B15A8A" w:rsidR="00D32EB3" w:rsidRDefault="00D32EB3" w:rsidP="00D32EB3">
      <w:r>
        <w:t xml:space="preserve">And finally, I was simply stubborn not wanting to give up the work until it was </w:t>
      </w:r>
      <w:r w:rsidR="003311BD">
        <w:t>“</w:t>
      </w:r>
      <w:r>
        <w:t>done.</w:t>
      </w:r>
      <w:r w:rsidR="003311BD">
        <w:t>”</w:t>
      </w:r>
      <w:r>
        <w:t xml:space="preserve"> </w:t>
      </w:r>
      <w:r w:rsidR="003441C4">
        <w:t>Even though</w:t>
      </w:r>
      <w:r>
        <w:t xml:space="preserve"> done is never really a word related to much of academic scholarship</w:t>
      </w:r>
      <w:r w:rsidR="003441C4">
        <w:t xml:space="preserve">, I did not want to finish it for the sake of finishing it. The project has ended up coming into being in a slow and iterative way that mirrored my own development as a scholar-teacher-administrator-practitioner in and out of the academy. I wanted the final product to be thorough and helpful and accurate, and that took time. </w:t>
      </w:r>
      <w:r>
        <w:t xml:space="preserve">I </w:t>
      </w:r>
      <w:r w:rsidR="008A5EA7">
        <w:t>a</w:t>
      </w:r>
      <w:r>
        <w:t>lways envision</w:t>
      </w:r>
      <w:r w:rsidR="008A5EA7">
        <w:t>ed</w:t>
      </w:r>
      <w:r>
        <w:t xml:space="preserve"> bring</w:t>
      </w:r>
      <w:r w:rsidR="003F00F5">
        <w:t>ing</w:t>
      </w:r>
      <w:r>
        <w:t xml:space="preserve"> data about all different types of programs together so that TPC could see each degree program with a field-wide lens</w:t>
      </w:r>
      <w:r w:rsidR="003441C4">
        <w:t xml:space="preserve"> (Chapters 3-</w:t>
      </w:r>
      <w:r w:rsidR="001E79BE">
        <w:t>8</w:t>
      </w:r>
      <w:r w:rsidR="003441C4">
        <w:t>)</w:t>
      </w:r>
      <w:r>
        <w:t xml:space="preserve">, but also what could </w:t>
      </w:r>
      <w:r w:rsidR="00E72256">
        <w:t xml:space="preserve">we learn </w:t>
      </w:r>
      <w:r>
        <w:t xml:space="preserve">about </w:t>
      </w:r>
      <w:r w:rsidR="00E72256">
        <w:t>TPC</w:t>
      </w:r>
      <w:r w:rsidR="008A5EA7">
        <w:t xml:space="preserve">’s </w:t>
      </w:r>
      <w:r>
        <w:t>values</w:t>
      </w:r>
      <w:r w:rsidR="008A5EA7">
        <w:t xml:space="preserve"> </w:t>
      </w:r>
      <w:r>
        <w:t xml:space="preserve">and identity if we </w:t>
      </w:r>
      <w:r w:rsidR="003F00F5">
        <w:t xml:space="preserve">imagined </w:t>
      </w:r>
      <w:r>
        <w:t xml:space="preserve">it through a curricular </w:t>
      </w:r>
      <w:r w:rsidR="003F00F5">
        <w:t>history</w:t>
      </w:r>
      <w:r w:rsidR="003441C4">
        <w:t xml:space="preserve"> (Chapters </w:t>
      </w:r>
      <w:r w:rsidR="001E79BE">
        <w:t>9-12</w:t>
      </w:r>
      <w:r w:rsidR="003441C4">
        <w:t>)</w:t>
      </w:r>
      <w:r>
        <w:t>. Doing that bringing together just took way longer than I ever thought or would have ever planned.</w:t>
      </w:r>
      <w:r w:rsidR="00633410">
        <w:rPr>
          <w:rStyle w:val="FootnoteReference"/>
        </w:rPr>
        <w:footnoteReference w:id="8"/>
      </w:r>
      <w:r>
        <w:t xml:space="preserve"> </w:t>
      </w:r>
    </w:p>
    <w:p w14:paraId="38209C21" w14:textId="442CD9C6" w:rsidR="00893B5B" w:rsidRDefault="00893B5B" w:rsidP="006E5145"/>
    <w:p w14:paraId="6892ECF8" w14:textId="59068B75" w:rsidR="0060228B" w:rsidRDefault="0060228B" w:rsidP="006E5145">
      <w:r>
        <w:t xml:space="preserve">The main research questions at the heart of this project are: </w:t>
      </w:r>
    </w:p>
    <w:p w14:paraId="670F04A0" w14:textId="7003F75C" w:rsidR="0060228B" w:rsidRDefault="0060228B" w:rsidP="0060228B">
      <w:pPr>
        <w:pStyle w:val="ListParagraph"/>
        <w:numPr>
          <w:ilvl w:val="0"/>
          <w:numId w:val="11"/>
        </w:numPr>
        <w:contextualSpacing/>
      </w:pPr>
      <w:r>
        <w:t>How many TPC degree programs</w:t>
      </w:r>
      <w:r w:rsidR="00025FA6">
        <w:t xml:space="preserve"> do we have in the US</w:t>
      </w:r>
      <w:r>
        <w:t>?</w:t>
      </w:r>
    </w:p>
    <w:p w14:paraId="633565D4" w14:textId="38D813C2" w:rsidR="00025FA6" w:rsidRDefault="00025FA6" w:rsidP="0060228B">
      <w:pPr>
        <w:pStyle w:val="ListParagraph"/>
        <w:numPr>
          <w:ilvl w:val="0"/>
          <w:numId w:val="11"/>
        </w:numPr>
        <w:contextualSpacing/>
      </w:pPr>
      <w:r>
        <w:t>Where are those degree programs located geographically and institutionally?</w:t>
      </w:r>
    </w:p>
    <w:p w14:paraId="33044B54" w14:textId="77777777" w:rsidR="003F00F5" w:rsidRDefault="0060228B" w:rsidP="0060228B">
      <w:pPr>
        <w:pStyle w:val="ListParagraph"/>
        <w:numPr>
          <w:ilvl w:val="0"/>
          <w:numId w:val="11"/>
        </w:numPr>
        <w:contextualSpacing/>
      </w:pPr>
      <w:r>
        <w:t xml:space="preserve">What do degree programs look like across the US? </w:t>
      </w:r>
    </w:p>
    <w:p w14:paraId="46316064" w14:textId="6701FFCF" w:rsidR="0060228B" w:rsidRDefault="003F00F5" w:rsidP="003F00F5">
      <w:pPr>
        <w:pStyle w:val="ListParagraph"/>
        <w:numPr>
          <w:ilvl w:val="1"/>
          <w:numId w:val="11"/>
        </w:numPr>
        <w:contextualSpacing/>
      </w:pPr>
      <w:r>
        <w:t>W</w:t>
      </w:r>
      <w:r w:rsidR="0060228B">
        <w:t>hat are the requirements for the different types of degrees</w:t>
      </w:r>
      <w:r>
        <w:t>?</w:t>
      </w:r>
    </w:p>
    <w:p w14:paraId="6F4BB63D" w14:textId="73677A0A" w:rsidR="0060228B" w:rsidRDefault="002268B2" w:rsidP="003F00F5">
      <w:pPr>
        <w:pStyle w:val="ListParagraph"/>
        <w:numPr>
          <w:ilvl w:val="1"/>
          <w:numId w:val="11"/>
        </w:numPr>
        <w:contextualSpacing/>
      </w:pPr>
      <w:r>
        <w:t>W</w:t>
      </w:r>
      <w:r w:rsidR="0060228B" w:rsidRPr="0081661B">
        <w:t xml:space="preserve">hat courses constitute </w:t>
      </w:r>
      <w:r w:rsidR="0060228B">
        <w:t xml:space="preserve">different degrees in TPC? </w:t>
      </w:r>
    </w:p>
    <w:p w14:paraId="469B412A" w14:textId="77777777" w:rsidR="0060228B" w:rsidRPr="00D25187" w:rsidRDefault="0060228B" w:rsidP="0060228B">
      <w:pPr>
        <w:pStyle w:val="ListParagraph"/>
        <w:numPr>
          <w:ilvl w:val="0"/>
          <w:numId w:val="11"/>
        </w:numPr>
        <w:contextualSpacing/>
      </w:pPr>
      <w:r>
        <w:t>Are there common courses</w:t>
      </w:r>
      <w:r w:rsidRPr="00D25187">
        <w:t xml:space="preserve"> across programs</w:t>
      </w:r>
      <w:r>
        <w:t xml:space="preserve"> (at different levels)?</w:t>
      </w:r>
    </w:p>
    <w:p w14:paraId="4D1FBD9A" w14:textId="77777777" w:rsidR="0060228B" w:rsidRDefault="0060228B" w:rsidP="0060228B">
      <w:pPr>
        <w:pStyle w:val="ListParagraph"/>
        <w:numPr>
          <w:ilvl w:val="0"/>
          <w:numId w:val="11"/>
        </w:numPr>
        <w:contextualSpacing/>
      </w:pPr>
      <w:r>
        <w:t>Are there other basic requirements/skills/competencies that define a program or reflect the values of the field?</w:t>
      </w:r>
    </w:p>
    <w:p w14:paraId="6C29BD4A" w14:textId="77777777" w:rsidR="00B5777B" w:rsidRDefault="00B5777B" w:rsidP="006E5145"/>
    <w:p w14:paraId="25B58921" w14:textId="34115892" w:rsidR="006E5145" w:rsidRDefault="003441C4" w:rsidP="006E5145">
      <w:r>
        <w:t>While these questions will be answered in depth through the course of the rest of the book, i</w:t>
      </w:r>
      <w:r w:rsidR="00B5777B">
        <w:t>n what follows</w:t>
      </w:r>
      <w:r>
        <w:t xml:space="preserve"> in this chapter</w:t>
      </w:r>
      <w:r w:rsidR="00B5777B">
        <w:t>, I</w:t>
      </w:r>
      <w:r w:rsidR="009F236A">
        <w:t xml:space="preserve"> </w:t>
      </w:r>
      <w:r w:rsidR="00B5777B">
        <w:t xml:space="preserve">explain </w:t>
      </w:r>
      <w:r w:rsidR="009F236A">
        <w:t xml:space="preserve">each part of the research study design: methodology, methods, and practices. Along the way, I discuss </w:t>
      </w:r>
      <w:r w:rsidR="002B33F9">
        <w:t xml:space="preserve">how the data came to be by focusing on </w:t>
      </w:r>
      <w:r w:rsidR="009F236A">
        <w:t>the importance of classification</w:t>
      </w:r>
      <w:r w:rsidR="002B33F9">
        <w:t xml:space="preserve">. </w:t>
      </w:r>
      <w:r w:rsidR="009F236A">
        <w:t xml:space="preserve">I </w:t>
      </w:r>
      <w:r w:rsidR="002B33F9">
        <w:t xml:space="preserve">also </w:t>
      </w:r>
      <w:r w:rsidR="009F236A">
        <w:t>offer an explication of what data mean</w:t>
      </w:r>
      <w:r w:rsidR="003C4C1D">
        <w:t>t</w:t>
      </w:r>
      <w:r w:rsidR="009F236A">
        <w:t xml:space="preserve"> to this project</w:t>
      </w:r>
      <w:r w:rsidR="002B33F9">
        <w:t xml:space="preserve">, as well as the limitations of it. </w:t>
      </w:r>
      <w:r w:rsidR="009F236A">
        <w:t xml:space="preserve">I conclude with connecting research to sustainability through the concept of continuous improvement. </w:t>
      </w:r>
    </w:p>
    <w:p w14:paraId="37FE963D" w14:textId="3CD67F12" w:rsidR="006E5145" w:rsidRDefault="006E5145" w:rsidP="006E5145"/>
    <w:p w14:paraId="0BD5B85F" w14:textId="11732292" w:rsidR="006E5145" w:rsidRDefault="006E5145" w:rsidP="006E5145">
      <w:pPr>
        <w:pStyle w:val="Heading1"/>
      </w:pPr>
      <w:r>
        <w:lastRenderedPageBreak/>
        <w:t>Methodology</w:t>
      </w:r>
    </w:p>
    <w:p w14:paraId="2F77CAB1" w14:textId="77777777" w:rsidR="00BE7C98" w:rsidRDefault="00BE7C98" w:rsidP="00045932">
      <w:pPr>
        <w:rPr>
          <w:rFonts w:eastAsia="Times New Roman" w:cs="Times New Roman"/>
          <w:i/>
        </w:rPr>
      </w:pPr>
    </w:p>
    <w:p w14:paraId="4D354AE4" w14:textId="2EEB1496" w:rsidR="00775468" w:rsidRDefault="00220BA0" w:rsidP="00775468">
      <w:r w:rsidRPr="00D6571E">
        <w:t>I have defined methodology in two</w:t>
      </w:r>
      <w:r w:rsidR="00D6571E" w:rsidRPr="00D6571E">
        <w:t xml:space="preserve"> related ways. First </w:t>
      </w:r>
      <w:r w:rsidR="003F00F5" w:rsidRPr="00D6571E">
        <w:t xml:space="preserve">with </w:t>
      </w:r>
      <w:r w:rsidR="003F00F5">
        <w:t xml:space="preserve">J. </w:t>
      </w:r>
      <w:r w:rsidR="003F00F5" w:rsidRPr="00D6571E">
        <w:t>Blake Scott (2018), we described methodologies as “multidimensional, value-laden frameworks for approaching, studying, and making sense of phenomena” (p.1)</w:t>
      </w:r>
      <w:r w:rsidR="003F00F5">
        <w:t xml:space="preserve">, and </w:t>
      </w:r>
      <w:r w:rsidR="00D6571E" w:rsidRPr="00D6571E">
        <w:t xml:space="preserve">with Kirk </w:t>
      </w:r>
      <w:proofErr w:type="gramStart"/>
      <w:r w:rsidR="00D6571E" w:rsidRPr="00D6571E">
        <w:t>St.Amant</w:t>
      </w:r>
      <w:proofErr w:type="gramEnd"/>
      <w:r w:rsidR="00D6571E" w:rsidRPr="00D6571E">
        <w:t xml:space="preserve"> (</w:t>
      </w:r>
      <w:r w:rsidR="00D6571E" w:rsidRPr="000001C2">
        <w:t>201</w:t>
      </w:r>
      <w:r w:rsidR="000001C2" w:rsidRPr="000001C2">
        <w:t>9</w:t>
      </w:r>
      <w:r w:rsidR="00D6571E" w:rsidRPr="000001C2">
        <w:t>),</w:t>
      </w:r>
      <w:r w:rsidR="00D6571E" w:rsidRPr="00D6571E">
        <w:t xml:space="preserve"> we took methodology “to mean the ideological or disciplinary approach to the</w:t>
      </w:r>
      <w:r w:rsidR="00D6571E">
        <w:t xml:space="preserve"> </w:t>
      </w:r>
      <w:r w:rsidR="00D6571E" w:rsidRPr="00D6571E">
        <w:t>broad practice of the work of research,”</w:t>
      </w:r>
      <w:r w:rsidR="001E79BE">
        <w:t xml:space="preserve"> </w:t>
      </w:r>
      <w:r w:rsidR="00D6571E">
        <w:t>(</w:t>
      </w:r>
      <w:r w:rsidR="00D6571E" w:rsidRPr="00D6571E">
        <w:t>p. 131)</w:t>
      </w:r>
      <w:r w:rsidR="003F00F5">
        <w:t xml:space="preserve">. </w:t>
      </w:r>
      <w:r w:rsidR="00BE7C98" w:rsidRPr="00D6571E">
        <w:t>Th</w:t>
      </w:r>
      <w:r w:rsidR="00D6571E" w:rsidRPr="00D6571E">
        <w:t xml:space="preserve">us, I </w:t>
      </w:r>
      <w:r w:rsidR="00BE7C98" w:rsidRPr="00D6571E">
        <w:t xml:space="preserve">embrace an ideological definition of methodology in which what a researcher thinks about the world informs </w:t>
      </w:r>
      <w:r w:rsidR="00A4670C">
        <w:t>their</w:t>
      </w:r>
      <w:r w:rsidR="00BE7C98" w:rsidRPr="00D6571E">
        <w:t xml:space="preserve"> perspective on the object of study and what can be known about it. This philosophy underpins decisions about how to study the object, or methods, which in turn are enacted as practices that describe how the study actually is accomplished. </w:t>
      </w:r>
      <w:r w:rsidR="00775468">
        <w:t xml:space="preserve">For me, the thinking </w:t>
      </w:r>
      <w:r w:rsidR="00264168">
        <w:t xml:space="preserve">comes out the </w:t>
      </w:r>
      <w:r w:rsidR="00775468">
        <w:t xml:space="preserve">constructivist paradigm </w:t>
      </w:r>
      <w:r w:rsidR="00787E58">
        <w:t xml:space="preserve">(Mirel, 1998) </w:t>
      </w:r>
      <w:r w:rsidR="00775468">
        <w:t xml:space="preserve">that leans into the idea that the world is socially constructed and the overall goal of research is to gain an understanding of a </w:t>
      </w:r>
      <w:r w:rsidR="00264168">
        <w:t>“</w:t>
      </w:r>
      <w:r w:rsidR="00775468">
        <w:t>thing.</w:t>
      </w:r>
      <w:r w:rsidR="00264168">
        <w:t>”</w:t>
      </w:r>
      <w:r w:rsidR="00775468">
        <w:t xml:space="preserve"> </w:t>
      </w:r>
      <w:r w:rsidR="00264168">
        <w:t>TPC programs are the “thing” in this project</w:t>
      </w:r>
      <w:r w:rsidR="002268B2">
        <w:t>.</w:t>
      </w:r>
    </w:p>
    <w:p w14:paraId="25D29730" w14:textId="77777777" w:rsidR="00775468" w:rsidRDefault="00775468" w:rsidP="00775468"/>
    <w:p w14:paraId="6A2ED8A8" w14:textId="78219714" w:rsidR="00F26521" w:rsidRDefault="00775468" w:rsidP="003154C3">
      <w:r>
        <w:t xml:space="preserve">Further, </w:t>
      </w:r>
      <w:r w:rsidRPr="00775468">
        <w:t>“</w:t>
      </w:r>
      <w:r>
        <w:t>m</w:t>
      </w:r>
      <w:r w:rsidRPr="00775468">
        <w:t>ethodology arises from epistemology, ontology, and axiology. How we know what we know, how we know what is true, and how we know what is good provide the tools for examining the world around us” (Brock, 2020, p. 8)</w:t>
      </w:r>
      <w:r>
        <w:t xml:space="preserve">. Considering this view alongside a constructivist’s approach, the epistemological orientation works to discover underlying meanings and the ontological orientation emphasizes that the material considerations of TPC programs are created by people and their reactions to and understanding of the field and their localized contexts. The latter of which come together to underscore what is valued. </w:t>
      </w:r>
      <w:r w:rsidR="001B5147">
        <w:t xml:space="preserve">And it is what is valued that guides TPC PAs when they are doing </w:t>
      </w:r>
      <w:r w:rsidR="00F26521">
        <w:t xml:space="preserve">programmatic </w:t>
      </w:r>
      <w:r w:rsidR="001B5147">
        <w:t>work and the applied nature of much programmatic research. The methodological paradigm of constructivism</w:t>
      </w:r>
      <w:r w:rsidR="002268B2">
        <w:t>—asking questions to gain a deeper understanding of a thing—offers TPC P</w:t>
      </w:r>
      <w:r w:rsidR="001E79BE">
        <w:t>a</w:t>
      </w:r>
      <w:r w:rsidR="002268B2">
        <w:t>s</w:t>
      </w:r>
      <w:r w:rsidR="001E79BE">
        <w:t xml:space="preserve"> and faculty</w:t>
      </w:r>
      <w:r w:rsidR="002268B2">
        <w:t xml:space="preserve"> insights into solving problems or making changes in their localized contexts. </w:t>
      </w:r>
    </w:p>
    <w:p w14:paraId="109AA5C4" w14:textId="5B7064E2" w:rsidR="00F12B44" w:rsidRDefault="00F12B44" w:rsidP="00003D73"/>
    <w:p w14:paraId="0E2D19DB" w14:textId="34D2A354" w:rsidR="00003D73" w:rsidRDefault="003E4948" w:rsidP="00003D73">
      <w:r>
        <w:t xml:space="preserve">To state the methodological approach of this project more succinctly, I would call it a </w:t>
      </w:r>
      <w:r w:rsidR="00FE3183">
        <w:t xml:space="preserve">descriptive, </w:t>
      </w:r>
      <w:r w:rsidR="00F12B44">
        <w:t xml:space="preserve">empirical, mixed-methods </w:t>
      </w:r>
      <w:r>
        <w:t xml:space="preserve">study. </w:t>
      </w:r>
      <w:r w:rsidR="00FE3183" w:rsidRPr="003E4948">
        <w:rPr>
          <w:rFonts w:eastAsia="Times New Roman" w:cs="Times New Roman"/>
        </w:rPr>
        <w:t xml:space="preserve">Mary Sue </w:t>
      </w:r>
      <w:proofErr w:type="spellStart"/>
      <w:r w:rsidR="00FE3183" w:rsidRPr="003E4948">
        <w:rPr>
          <w:rFonts w:eastAsia="Times New Roman" w:cs="Times New Roman"/>
        </w:rPr>
        <w:t>MacNealy</w:t>
      </w:r>
      <w:proofErr w:type="spellEnd"/>
      <w:r w:rsidR="00FE3183" w:rsidRPr="003E4948">
        <w:rPr>
          <w:rFonts w:eastAsia="Times New Roman" w:cs="Times New Roman"/>
        </w:rPr>
        <w:t xml:space="preserve"> (1999) defined empirical research as “research that carefully describes and/or measures observable phenomena in a systematic way that has been planned in advance of the observation’’ (p. </w:t>
      </w:r>
      <w:r w:rsidR="00FE3183">
        <w:t>6</w:t>
      </w:r>
      <w:r w:rsidR="00FE3183" w:rsidRPr="003E4948">
        <w:rPr>
          <w:rFonts w:eastAsia="Times New Roman" w:cs="Times New Roman"/>
        </w:rPr>
        <w:t>)</w:t>
      </w:r>
      <w:r w:rsidR="00FE3183">
        <w:rPr>
          <w:rFonts w:eastAsia="Times New Roman" w:cs="Times New Roman"/>
        </w:rPr>
        <w:t xml:space="preserve">. </w:t>
      </w:r>
      <w:r w:rsidR="00FE3183" w:rsidRPr="003E4948">
        <w:rPr>
          <w:rFonts w:eastAsia="Times New Roman" w:cs="Times New Roman"/>
        </w:rPr>
        <w:t xml:space="preserve">The systematic design of my study allows me to take advantage of the flexibility afforded by </w:t>
      </w:r>
      <w:proofErr w:type="spellStart"/>
      <w:r w:rsidR="00FE3183" w:rsidRPr="003E4948">
        <w:rPr>
          <w:rFonts w:eastAsia="Times New Roman" w:cs="Times New Roman"/>
        </w:rPr>
        <w:t>MacNealy’s</w:t>
      </w:r>
      <w:proofErr w:type="spellEnd"/>
      <w:r w:rsidR="00FE3183" w:rsidRPr="003E4948">
        <w:rPr>
          <w:rFonts w:eastAsia="Times New Roman" w:cs="Times New Roman"/>
        </w:rPr>
        <w:t xml:space="preserve"> definition and contributes to a disciplinary agenda of encouraging more empirical, programmatic scholarship.</w:t>
      </w:r>
      <w:r w:rsidR="00B16550">
        <w:rPr>
          <w:rFonts w:eastAsia="Times New Roman" w:cs="Times New Roman"/>
        </w:rPr>
        <w:t xml:space="preserve"> </w:t>
      </w:r>
      <w:r>
        <w:t xml:space="preserve">It </w:t>
      </w:r>
      <w:r w:rsidR="00F12B44">
        <w:t xml:space="preserve">analyzes and discusses a large set of programmatic and curricular data, interviews with TPC faculty, and reviews of TPC literature </w:t>
      </w:r>
      <w:r>
        <w:t>historically and currently</w:t>
      </w:r>
      <w:r w:rsidR="00FE3183">
        <w:t>, which helps to explain the descriptive and mixed-methods part of the study design</w:t>
      </w:r>
      <w:r w:rsidR="00F12B44">
        <w:t>.</w:t>
      </w:r>
      <w:r>
        <w:t xml:space="preserve"> </w:t>
      </w:r>
      <w:r w:rsidR="00F12B44">
        <w:t xml:space="preserve">The breadth and depth of the data collected far exceeds any data that has been collected to date, which </w:t>
      </w:r>
      <w:r>
        <w:t>gives</w:t>
      </w:r>
      <w:r w:rsidR="00F12B44">
        <w:t xml:space="preserve"> the field </w:t>
      </w:r>
      <w:r>
        <w:t xml:space="preserve">the opportunity </w:t>
      </w:r>
      <w:r w:rsidR="00F12B44">
        <w:t>to map trends and changes</w:t>
      </w:r>
      <w:r>
        <w:t xml:space="preserve">. </w:t>
      </w:r>
      <w:r w:rsidR="00003D73">
        <w:t>Part of the knowledge making in the field is of course, existing scholarship, and existing scholarship plays an important role in the research study design</w:t>
      </w:r>
      <w:r w:rsidR="00CF27EA">
        <w:t>. By examining the methodologies (and methods and practices) of existing scholarship</w:t>
      </w:r>
      <w:r w:rsidR="00FE3183">
        <w:t xml:space="preserve"> (Melonçon &amp; </w:t>
      </w:r>
      <w:proofErr w:type="gramStart"/>
      <w:r w:rsidR="00FE3183">
        <w:t>St.Amant</w:t>
      </w:r>
      <w:proofErr w:type="gramEnd"/>
      <w:r w:rsidR="00FE3183">
        <w:t xml:space="preserve">, 2019 and Melonçon, Rosselot-Merritt, &amp; </w:t>
      </w:r>
      <w:proofErr w:type="gramStart"/>
      <w:r w:rsidR="00FE3183">
        <w:t>St.Amant</w:t>
      </w:r>
      <w:proofErr w:type="gramEnd"/>
      <w:r w:rsidR="00FE3183">
        <w:t>, 2020)</w:t>
      </w:r>
      <w:r w:rsidR="00CF27EA">
        <w:t xml:space="preserve">, I was able to gain a deeper appreciation for the complexities for programmatic research. The next three </w:t>
      </w:r>
      <w:r w:rsidR="003F00F5">
        <w:t>sub-</w:t>
      </w:r>
      <w:r w:rsidR="00CF27EA">
        <w:t xml:space="preserve">sections highlight several of these complexities and their impact on the </w:t>
      </w:r>
      <w:r w:rsidR="00284D32">
        <w:t xml:space="preserve">study’s </w:t>
      </w:r>
      <w:r w:rsidR="00CF27EA">
        <w:t>methodological design.</w:t>
      </w:r>
    </w:p>
    <w:p w14:paraId="1C799BCC" w14:textId="74DA670A" w:rsidR="00003D73" w:rsidRDefault="00003D73" w:rsidP="00003D73">
      <w:pPr>
        <w:pStyle w:val="Heading2"/>
      </w:pPr>
      <w:r>
        <w:lastRenderedPageBreak/>
        <w:t>Why did I settle on TPC?</w:t>
      </w:r>
    </w:p>
    <w:p w14:paraId="00F75FF9" w14:textId="57CF5967" w:rsidR="007D02B6" w:rsidRDefault="00A5612A" w:rsidP="00003D73">
      <w:r>
        <w:t xml:space="preserve">In his commentary on program trajectories, Robert Johnson (2009) explained that his piece was one of meditative craft. He </w:t>
      </w:r>
      <w:r w:rsidR="00257266">
        <w:t>used</w:t>
      </w:r>
      <w:r>
        <w:t xml:space="preserve"> meditation as a fruitful inventive technique to “craft some questions about RTPSC [rhetoric, technical, professional, and scientific communication] programs as a way to think through the trajectory of the field and how it might continue to trace its arc into the future” (p.45), as well as to connect to a “sense of civic activity, communal knowledge and ethics” (p. 47). Johnson’s meditative move </w:t>
      </w:r>
      <w:r w:rsidR="00CC3394">
        <w:t>aligns with my own in that programs have always been a reflection of the academic field and should continue to consider its relationship to the professional field (outside of higher education). Meditative considerations of the present and future start with how I reference</w:t>
      </w:r>
      <w:r w:rsidR="00B6732A">
        <w:t>, or name,</w:t>
      </w:r>
      <w:r w:rsidR="00CC3394">
        <w:t xml:space="preserve"> the academic field. </w:t>
      </w:r>
      <w:r w:rsidR="00075A90">
        <w:t xml:space="preserve">I have to agree with </w:t>
      </w:r>
      <w:r w:rsidR="00EA34F9">
        <w:t xml:space="preserve">Kitty </w:t>
      </w:r>
      <w:r w:rsidR="00075A90">
        <w:t>Locker (2003) when she wrote, “I’m in favor of anything that gives us more courses, more students, more programs, and larger political presence in the academy” (p. 123). Thus, from almost the beginning of this project I have used technical and professional communication (TPC) as the stand-in name for courses, programs, and for me, the academic field in which I participate.</w:t>
      </w:r>
      <w:r w:rsidR="00075A90">
        <w:rPr>
          <w:rStyle w:val="FootnoteReference"/>
        </w:rPr>
        <w:footnoteReference w:id="9"/>
      </w:r>
      <w:r w:rsidR="00075A90">
        <w:t xml:space="preserve"> </w:t>
      </w:r>
      <w:r w:rsidR="007D02B6">
        <w:t xml:space="preserve">Particularly in light of the data that follow, it would be wise to explain my use of technical and professional communication—TPC—as the umbrella term for the </w:t>
      </w:r>
      <w:r w:rsidR="00A72767">
        <w:t xml:space="preserve">academic </w:t>
      </w:r>
      <w:r w:rsidR="007D02B6">
        <w:t>field. Let me admit up front that I am not entirely comfortable with the phrase, but I have also made some peace with it.</w:t>
      </w:r>
    </w:p>
    <w:p w14:paraId="2A0574B6" w14:textId="77777777" w:rsidR="007D02B6" w:rsidRDefault="007D02B6" w:rsidP="00003D73"/>
    <w:p w14:paraId="243E18B7" w14:textId="4F456E8B" w:rsidR="00126180" w:rsidRDefault="00075A90" w:rsidP="00003D73">
      <w:r>
        <w:t>Th</w:t>
      </w:r>
      <w:r w:rsidR="00126180">
        <w:t xml:space="preserve">ere are </w:t>
      </w:r>
      <w:r w:rsidR="00284D32">
        <w:t>three</w:t>
      </w:r>
      <w:r w:rsidR="00126180">
        <w:t xml:space="preserve"> primary reasons for </w:t>
      </w:r>
      <w:r w:rsidR="00A72767">
        <w:t>my choice of TPC:</w:t>
      </w:r>
    </w:p>
    <w:p w14:paraId="7D03BA4C" w14:textId="3BE1FB62" w:rsidR="00126180" w:rsidRPr="00833C50" w:rsidRDefault="007D02B6" w:rsidP="00126180">
      <w:pPr>
        <w:pStyle w:val="ListParagraph"/>
        <w:numPr>
          <w:ilvl w:val="0"/>
          <w:numId w:val="12"/>
        </w:numPr>
      </w:pPr>
      <w:r w:rsidRPr="00833C50">
        <w:t>A</w:t>
      </w:r>
      <w:r w:rsidR="00126180" w:rsidRPr="00833C50">
        <w:t xml:space="preserve">cknowledging the academic field’s history </w:t>
      </w:r>
    </w:p>
    <w:p w14:paraId="72576A10" w14:textId="68A60F83" w:rsidR="00126180" w:rsidRPr="00833C50" w:rsidRDefault="00126180" w:rsidP="00126180">
      <w:pPr>
        <w:pStyle w:val="ListParagraph"/>
        <w:numPr>
          <w:ilvl w:val="0"/>
          <w:numId w:val="12"/>
        </w:numPr>
      </w:pPr>
      <w:r w:rsidRPr="00833C50">
        <w:t xml:space="preserve">Aligning with changes in programs </w:t>
      </w:r>
    </w:p>
    <w:p w14:paraId="77F53E76" w14:textId="625D5E14" w:rsidR="00126180" w:rsidRPr="00833C50" w:rsidRDefault="00126180" w:rsidP="00126180">
      <w:pPr>
        <w:pStyle w:val="ListParagraph"/>
        <w:numPr>
          <w:ilvl w:val="0"/>
          <w:numId w:val="12"/>
        </w:numPr>
      </w:pPr>
      <w:r w:rsidRPr="00833C50">
        <w:t>Continuing a relationship with the professional field</w:t>
      </w:r>
    </w:p>
    <w:p w14:paraId="24F0FFFC" w14:textId="77777777" w:rsidR="00126180" w:rsidRDefault="00126180" w:rsidP="00003D73"/>
    <w:p w14:paraId="49DECC3B" w14:textId="7562688B" w:rsidR="006C4B21" w:rsidRDefault="007D02B6" w:rsidP="00003D73">
      <w:r>
        <w:t xml:space="preserve">As the academic field developed in higher education, </w:t>
      </w:r>
      <w:r w:rsidR="00A72767">
        <w:t>t</w:t>
      </w:r>
      <w:r w:rsidR="00F47A7B">
        <w:t xml:space="preserve">he earliest courses </w:t>
      </w:r>
      <w:r w:rsidR="00A72767">
        <w:t>and programs used</w:t>
      </w:r>
      <w:r w:rsidR="006C4B21">
        <w:t xml:space="preserve"> </w:t>
      </w:r>
      <w:r w:rsidR="006C4B21" w:rsidRPr="006C4B21">
        <w:rPr>
          <w:i/>
          <w:iCs/>
        </w:rPr>
        <w:t>technical</w:t>
      </w:r>
      <w:r w:rsidR="00A72767">
        <w:t>.</w:t>
      </w:r>
      <w:r w:rsidR="00E4108D">
        <w:t xml:space="preserve"> </w:t>
      </w:r>
      <w:r w:rsidR="00A72767">
        <w:t>For example,</w:t>
      </w:r>
      <w:r w:rsidR="00AB754B">
        <w:t xml:space="preserve"> one of the first textbooks in the field was titled, </w:t>
      </w:r>
      <w:r w:rsidR="00AB754B">
        <w:rPr>
          <w:i/>
          <w:iCs/>
        </w:rPr>
        <w:t xml:space="preserve">A guide to technical writing </w:t>
      </w:r>
      <w:r w:rsidR="00AB754B">
        <w:t>(Rickard, 1908)</w:t>
      </w:r>
      <w:r w:rsidR="006C4B21">
        <w:t>, while</w:t>
      </w:r>
      <w:r w:rsidR="00A72767">
        <w:t xml:space="preserve"> the first edition of Academic</w:t>
      </w:r>
      <w:r w:rsidR="00E4108D">
        <w:t xml:space="preserve"> Programs referred to programs as technical writing/editing programs (Pearsall, 1976). </w:t>
      </w:r>
      <w:r w:rsidR="00F47A7B">
        <w:t>Even the field’s two academic organizations, ATTW and CPTSC, use technical in their names</w:t>
      </w:r>
      <w:r w:rsidR="00A72767">
        <w:t>, and these organizations were founded in 1973 and 1974 respectively</w:t>
      </w:r>
      <w:r w:rsidR="00F47A7B">
        <w:t xml:space="preserve">. </w:t>
      </w:r>
      <w:r w:rsidR="006C4B21">
        <w:t>More so, i</w:t>
      </w:r>
      <w:r w:rsidR="00F47A7B">
        <w:t xml:space="preserve">t is important to remember that technical is not simply confined to a relationship to technology, but rather, technical points to a defined expertise around a specific subject. </w:t>
      </w:r>
      <w:r w:rsidR="006C4B21">
        <w:t xml:space="preserve">Thus, keeping technical not only recognizes the work of those early teachers and scholars, but it also keeps programs connected to technology and </w:t>
      </w:r>
      <w:r w:rsidR="003F00F5">
        <w:t xml:space="preserve">to </w:t>
      </w:r>
      <w:r w:rsidR="006C4B21">
        <w:t xml:space="preserve">a specific expertise. </w:t>
      </w:r>
      <w:r w:rsidR="004E0800">
        <w:t>Both of which are key identifiers of the diverse work that is done outside of higher education.</w:t>
      </w:r>
    </w:p>
    <w:p w14:paraId="6C60C8C4" w14:textId="77777777" w:rsidR="006C4B21" w:rsidRDefault="006C4B21" w:rsidP="00003D73"/>
    <w:p w14:paraId="73A9B385" w14:textId="05FCEE1D" w:rsidR="00003D73" w:rsidRPr="006C4B21" w:rsidRDefault="00F47A7B" w:rsidP="00003D73">
      <w:r>
        <w:t>When it comes to the distinction between writing and communication, a</w:t>
      </w:r>
      <w:r w:rsidR="00003D73">
        <w:t>s I have admitted elsewhere (Melon</w:t>
      </w:r>
      <w:r w:rsidR="00EF2E57">
        <w:t>ç</w:t>
      </w:r>
      <w:r w:rsidR="00003D73">
        <w:t>on 2009), I started my career as a technical writer, but shifted my stance sometime in the late 1990s as the scope of what I did broadened much beyond simply writing. Finally, the use of the word “communication” in many of the descriptions points out that professional writing often entails more than writing” (Werner, Thomson, &amp; Rothschild, 1988, p.</w:t>
      </w:r>
      <w:r w:rsidR="00A72767">
        <w:t xml:space="preserve"> </w:t>
      </w:r>
      <w:r w:rsidR="00003D73">
        <w:t>215)</w:t>
      </w:r>
      <w:r>
        <w:t xml:space="preserve">. </w:t>
      </w:r>
    </w:p>
    <w:p w14:paraId="25B908AE" w14:textId="468EC22B" w:rsidR="007D02B6" w:rsidRDefault="007D02B6" w:rsidP="00003D73"/>
    <w:p w14:paraId="6DBBC5FB" w14:textId="240F2F65" w:rsidR="007D02B6" w:rsidRDefault="007D02B6" w:rsidP="00003D73">
      <w:r>
        <w:t xml:space="preserve">The inclusion of “professional” aligns with more current trends of naming degree programs using </w:t>
      </w:r>
      <w:r w:rsidR="006C4B21">
        <w:rPr>
          <w:i/>
          <w:iCs/>
        </w:rPr>
        <w:t>professional</w:t>
      </w:r>
      <w:r>
        <w:t xml:space="preserve">, and </w:t>
      </w:r>
      <w:r w:rsidR="009068B7">
        <w:t>as composite interviews revealed, the choice of professional made creating and sustaining programs easier because the term is not as controversial as business or technical</w:t>
      </w:r>
      <w:r w:rsidR="003F00F5">
        <w:t xml:space="preserve"> particularly in English departments</w:t>
      </w:r>
      <w:r w:rsidR="009068B7">
        <w:t>.</w:t>
      </w:r>
      <w:r w:rsidR="004E0800">
        <w:rPr>
          <w:rStyle w:val="FootnoteReference"/>
        </w:rPr>
        <w:footnoteReference w:id="10"/>
      </w:r>
      <w:r w:rsidR="009068B7">
        <w:t xml:space="preserve"> </w:t>
      </w:r>
      <w:r>
        <w:t xml:space="preserve">I </w:t>
      </w:r>
      <w:r w:rsidR="009068B7">
        <w:t xml:space="preserve">also </w:t>
      </w:r>
      <w:r>
        <w:t xml:space="preserve">include professional </w:t>
      </w:r>
      <w:r w:rsidR="009068B7">
        <w:t xml:space="preserve">in my sense of the field </w:t>
      </w:r>
      <w:r>
        <w:t xml:space="preserve">because that term </w:t>
      </w:r>
      <w:r w:rsidR="009068B7">
        <w:t>explains part</w:t>
      </w:r>
      <w:r>
        <w:t xml:space="preserve"> what it is that our programs do. While Kitty Locker identified Kathryn Riley</w:t>
      </w:r>
      <w:r w:rsidR="00F47A7B">
        <w:t xml:space="preserve">’s use of professional </w:t>
      </w:r>
      <w:r>
        <w:t>in a 1988 article</w:t>
      </w:r>
      <w:r w:rsidR="00F47A7B">
        <w:t xml:space="preserve"> </w:t>
      </w:r>
      <w:r>
        <w:t>as the first person to use professional to mean both business and technical writing there is a previous precedent.</w:t>
      </w:r>
      <w:r w:rsidR="00F47A7B">
        <w:t xml:space="preserve"> </w:t>
      </w:r>
      <w:r w:rsidR="004E0800">
        <w:t xml:space="preserve">In 1957, </w:t>
      </w:r>
      <w:r w:rsidR="004E0800" w:rsidRPr="004E0800">
        <w:rPr>
          <w:i/>
          <w:iCs/>
        </w:rPr>
        <w:t>IEEE Transactions on Professional Communication</w:t>
      </w:r>
      <w:r w:rsidR="004E0800">
        <w:t xml:space="preserve"> was started, and i</w:t>
      </w:r>
      <w:r>
        <w:t>n</w:t>
      </w:r>
      <w:r w:rsidR="00F47A7B">
        <w:t xml:space="preserve"> </w:t>
      </w:r>
      <w:r>
        <w:t>1963</w:t>
      </w:r>
      <w:r w:rsidR="00F47A7B">
        <w:t>,</w:t>
      </w:r>
      <w:r>
        <w:t xml:space="preserve"> Herman A. Estrin edit</w:t>
      </w:r>
      <w:r w:rsidR="00F47A7B">
        <w:t>ed</w:t>
      </w:r>
      <w:r>
        <w:t xml:space="preserve"> </w:t>
      </w:r>
      <w:r w:rsidR="00F47A7B">
        <w:t>a</w:t>
      </w:r>
      <w:r>
        <w:t xml:space="preserve"> book</w:t>
      </w:r>
      <w:r w:rsidR="00F47A7B">
        <w:t xml:space="preserve"> with professional as a key word in the title. </w:t>
      </w:r>
      <w:r w:rsidR="00E6203B">
        <w:t xml:space="preserve">The first notion I found was </w:t>
      </w:r>
      <w:r w:rsidR="00E6203B">
        <w:t xml:space="preserve">Professional communication was first used in the CPTSC proceedings in 1990 by Marilyn Cooper. </w:t>
      </w:r>
      <w:r>
        <w:t>Professional</w:t>
      </w:r>
      <w:r w:rsidR="009068B7">
        <w:rPr>
          <w:rStyle w:val="FootnoteReference"/>
        </w:rPr>
        <w:footnoteReference w:id="11"/>
      </w:r>
      <w:r>
        <w:t xml:space="preserve"> is </w:t>
      </w:r>
      <w:r w:rsidR="00F47A7B">
        <w:t xml:space="preserve">often used </w:t>
      </w:r>
      <w:r>
        <w:t>in at least three different ways</w:t>
      </w:r>
      <w:r w:rsidR="00F47A7B">
        <w:t>:</w:t>
      </w:r>
      <w:r>
        <w:t xml:space="preserve"> professionals who write (e.g., engineers, doctors, etc.)</w:t>
      </w:r>
      <w:r w:rsidR="00F47A7B">
        <w:t xml:space="preserve">; </w:t>
      </w:r>
      <w:r>
        <w:t>writing professionals, i.e., people who are paid to paid (e.g., journalists, technical writers, novelists)</w:t>
      </w:r>
      <w:r w:rsidR="00F47A7B">
        <w:t>;</w:t>
      </w:r>
      <w:r>
        <w:t xml:space="preserve"> and professional </w:t>
      </w:r>
      <w:r w:rsidR="009422BF">
        <w:t xml:space="preserve">as an adjective for a kind of writing (and as a difference from creative writing). </w:t>
      </w:r>
      <w:r w:rsidR="00287615">
        <w:t xml:space="preserve">The work we do in academic TPC programs prepares students to function in any of these capacities. </w:t>
      </w:r>
    </w:p>
    <w:p w14:paraId="5058EEA0" w14:textId="0436B104" w:rsidR="00003D73" w:rsidRDefault="00003D73" w:rsidP="00003D73"/>
    <w:p w14:paraId="50DA2127" w14:textId="1E88A7E0" w:rsidR="008C1594" w:rsidRDefault="00833C50" w:rsidP="00C67EED">
      <w:r>
        <w:t>A</w:t>
      </w:r>
      <w:r w:rsidR="009422BF">
        <w:t>cademic TPC cannot lose its connection to the professional field</w:t>
      </w:r>
      <w:r w:rsidR="00287615">
        <w:t xml:space="preserve">, that is, to the idea that TPC programs are preparing students to find success in the workplace (and in life). TPC PAs and faculty </w:t>
      </w:r>
      <w:r w:rsidR="00003D73">
        <w:t xml:space="preserve">cannot discount this </w:t>
      </w:r>
      <w:r w:rsidR="007F3AA0">
        <w:t xml:space="preserve">professional </w:t>
      </w:r>
      <w:r w:rsidR="00003D73">
        <w:t>connection</w:t>
      </w:r>
      <w:r w:rsidR="007F3AA0">
        <w:t xml:space="preserve"> or with other related professional organizations</w:t>
      </w:r>
      <w:r w:rsidR="00003D73">
        <w:t>.</w:t>
      </w:r>
      <w:r w:rsidR="00322BB1">
        <w:rPr>
          <w:rStyle w:val="FootnoteReference"/>
        </w:rPr>
        <w:footnoteReference w:id="12"/>
      </w:r>
      <w:r>
        <w:t xml:space="preserve"> </w:t>
      </w:r>
    </w:p>
    <w:p w14:paraId="4D069E49" w14:textId="06718A8E" w:rsidR="00C67EED" w:rsidRDefault="00A0548E" w:rsidP="00C67EED">
      <w:pPr>
        <w:pStyle w:val="Heading2"/>
      </w:pPr>
      <w:r w:rsidRPr="009068B7">
        <w:t>What is data?</w:t>
      </w:r>
      <w:r w:rsidR="00DA47AF">
        <w:t xml:space="preserve"> </w:t>
      </w:r>
    </w:p>
    <w:p w14:paraId="35D9434C" w14:textId="39ECFE1C" w:rsidR="009D0763" w:rsidRDefault="009D0763" w:rsidP="009D0763">
      <w:r>
        <w:t xml:space="preserve">In this book, when I use </w:t>
      </w:r>
      <w:proofErr w:type="gramStart"/>
      <w:r>
        <w:t>data</w:t>
      </w:r>
      <w:proofErr w:type="gramEnd"/>
      <w:r>
        <w:t xml:space="preserve"> I mean something that provides insights into a phenomenon</w:t>
      </w:r>
      <w:r w:rsidR="008A5EA7">
        <w:t xml:space="preserve">, or as Melanie Feinberg (2023) defined it, “data after all, is just a description of a thing’s qualities” (p. 3). In my case, the </w:t>
      </w:r>
      <w:r>
        <w:t>phenomenon</w:t>
      </w:r>
      <w:r w:rsidR="008A5EA7">
        <w:t xml:space="preserve"> or thing</w:t>
      </w:r>
      <w:r>
        <w:t xml:space="preserve"> is TPC degree program. </w:t>
      </w:r>
      <w:r w:rsidRPr="0028284F">
        <w:t xml:space="preserve">“‘Data’ is not a bad </w:t>
      </w:r>
      <w:proofErr w:type="gramStart"/>
      <w:r w:rsidRPr="0028284F">
        <w:t>term in itself, but</w:t>
      </w:r>
      <w:proofErr w:type="gramEnd"/>
      <w:r w:rsidRPr="0028284F">
        <w:t xml:space="preserve"> because its value in this decade of big data is overstated, many faulty logics and premises about data, truth, and algorithmic computation can end up influencing how we make sense of the world around us” (Markham, 2018, p. 3)</w:t>
      </w:r>
      <w:r w:rsidR="008A5EA7">
        <w:t>. B</w:t>
      </w:r>
      <w:r w:rsidRPr="0028284F">
        <w:t xml:space="preserve">ecause as readers will no doubt agree, data are never fully objective. </w:t>
      </w:r>
      <w:r>
        <w:t>By itself, “data has no truth” (Rosenberg</w:t>
      </w:r>
      <w:r w:rsidR="00CE54CF">
        <w:t>, 2013,</w:t>
      </w:r>
      <w:r>
        <w:t xml:space="preserve"> p. 37; c.f. Borgman, 2015, p. 18). Data are simply random points or numbers or words that need a strategy and a context</w:t>
      </w:r>
      <w:r w:rsidR="008A5EA7">
        <w:t xml:space="preserve"> because data are often “simple and unremarkable” (Feinberg, 2023, p. 3). </w:t>
      </w:r>
      <w:r>
        <w:t xml:space="preserve">To that end, </w:t>
      </w:r>
      <w:r w:rsidRPr="00E87085">
        <w:t xml:space="preserve">I want to discuss these </w:t>
      </w:r>
      <w:r w:rsidRPr="00E87085">
        <w:lastRenderedPageBreak/>
        <w:t xml:space="preserve">issues of data and research through the lens of research justice </w:t>
      </w:r>
      <w:proofErr w:type="gramStart"/>
      <w:r w:rsidRPr="00E87085">
        <w:t>as a means to</w:t>
      </w:r>
      <w:proofErr w:type="gramEnd"/>
      <w:r w:rsidRPr="00E87085">
        <w:t xml:space="preserve"> highlight the power of data to sort, categorize and intervene has not yet been explicitly connected to </w:t>
      </w:r>
      <w:r>
        <w:t xml:space="preserve">a social </w:t>
      </w:r>
      <w:proofErr w:type="gramStart"/>
      <w:r w:rsidRPr="00E87085">
        <w:t>justices</w:t>
      </w:r>
      <w:proofErr w:type="gramEnd"/>
      <w:r w:rsidRPr="00E87085">
        <w:t xml:space="preserve"> agenda. Research justice</w:t>
      </w:r>
      <w:r>
        <w:t>s</w:t>
      </w:r>
      <w:r>
        <w:rPr>
          <w:rStyle w:val="FootnoteReference"/>
        </w:rPr>
        <w:footnoteReference w:id="13"/>
      </w:r>
      <w:r w:rsidRPr="00E87085">
        <w:t xml:space="preserve"> </w:t>
      </w:r>
      <w:r w:rsidR="00AD0772">
        <w:t>are</w:t>
      </w:r>
      <w:r w:rsidRPr="00E87085">
        <w:t xml:space="preserve"> a “strategic framework and methodological intervention</w:t>
      </w:r>
      <w:r w:rsidR="00AD0772">
        <w:t xml:space="preserve"> </w:t>
      </w:r>
      <w:r w:rsidRPr="00E87085">
        <w:t>that seeks to transform structural inequities in research” (</w:t>
      </w:r>
      <w:proofErr w:type="spellStart"/>
      <w:r w:rsidRPr="00E87085">
        <w:t>Jolivétte</w:t>
      </w:r>
      <w:proofErr w:type="spellEnd"/>
      <w:r w:rsidRPr="00E87085">
        <w:t xml:space="preserve">, 2015). The framework is meant to shift the creation of knowledge production from one based in inequitable power structures to one is centered on justice. Recent scholarship </w:t>
      </w:r>
      <w:r w:rsidR="00AD0772">
        <w:t xml:space="preserve">in other fields </w:t>
      </w:r>
      <w:r w:rsidRPr="00E87085">
        <w:t xml:space="preserve">(e.g., </w:t>
      </w:r>
      <w:proofErr w:type="spellStart"/>
      <w:r w:rsidRPr="00E87085">
        <w:t>Cobhman</w:t>
      </w:r>
      <w:proofErr w:type="spellEnd"/>
      <w:r w:rsidRPr="00E87085">
        <w:t xml:space="preserve">, 2020; </w:t>
      </w:r>
      <w:r w:rsidR="00782602">
        <w:t>Criado-</w:t>
      </w:r>
      <w:r w:rsidRPr="00E87085">
        <w:t xml:space="preserve">Perez, 2019) point to </w:t>
      </w:r>
      <w:r w:rsidR="001C1507" w:rsidRPr="00E87085">
        <w:t>myriads</w:t>
      </w:r>
      <w:r w:rsidRPr="00E87085">
        <w:t xml:space="preserve"> of problems with data, particularly in light of research justice. That is, poor quality data—which includes data with conscious and unconscious exclusions—provides a false sense of what conclusions can actually be drawn from the data. </w:t>
      </w:r>
      <w:r w:rsidR="00AD0772">
        <w:t xml:space="preserve"> Considering research justice alongside choices made about data means that researchers need to fully explain and make transparent the decisions behind how the data were selected and more importantly, the decisions for inclusion or exclusion. </w:t>
      </w:r>
      <w:r w:rsidRPr="00E87085">
        <w:t>As Mary Beth Debs (1993) urged researchers, “what should guide our research choices is not simply an expectation of internal coherence, but a self-conscious reflection as to their consequences as well” (</w:t>
      </w:r>
      <w:r w:rsidR="00CE54CF">
        <w:t xml:space="preserve">p. </w:t>
      </w:r>
      <w:r w:rsidR="00AF2559">
        <w:t>252</w:t>
      </w:r>
      <w:r w:rsidRPr="00E87085">
        <w:t xml:space="preserve">). Data has consequences. </w:t>
      </w:r>
    </w:p>
    <w:p w14:paraId="0972FDE2" w14:textId="77777777" w:rsidR="00DB7C26" w:rsidRPr="009D0763" w:rsidRDefault="00DB7C26" w:rsidP="009D0763"/>
    <w:p w14:paraId="370B8C6A" w14:textId="7396E5B9" w:rsidR="00851FB4" w:rsidRDefault="00833C50" w:rsidP="00830314">
      <w:r>
        <w:t>Many in the field have known I have worked on this project for a number of years. I was often counseled just to put the data together and get the project out. However, I kept insisting that the data needed to be updated so that it was as comprehensive as I could make it and that it was all current at the same time. I insisted on this even though “data is a form of information that seems always to be in motion, difficult to fix in a static form” (Borgman, 2015, p. 33).</w:t>
      </w:r>
      <w:r w:rsidR="009D0763">
        <w:t xml:space="preserve"> </w:t>
      </w:r>
      <w:r>
        <w:t xml:space="preserve">As explained in the Chapter 1 and as I explain in more in the rest of this chapter, data gathering and coding is a tedious and </w:t>
      </w:r>
      <w:r w:rsidR="009068B7">
        <w:t>time-consuming</w:t>
      </w:r>
      <w:r>
        <w:t xml:space="preserve"> process, and it comes with its own consequences. </w:t>
      </w:r>
      <w:r w:rsidR="00851FB4">
        <w:t xml:space="preserve">Even though </w:t>
      </w:r>
      <w:r w:rsidR="002A001B">
        <w:t>TPC</w:t>
      </w:r>
      <w:r w:rsidR="00851FB4">
        <w:t xml:space="preserve"> ha</w:t>
      </w:r>
      <w:r w:rsidR="002A001B">
        <w:t>s</w:t>
      </w:r>
      <w:r w:rsidR="00851FB4">
        <w:t xml:space="preserve"> a growing body of work on methodologies and meta-critiques of research itself, critical examinations of data are noticeably absent in the field. </w:t>
      </w:r>
      <w:r w:rsidR="00851FB4" w:rsidRPr="00E87085">
        <w:t xml:space="preserve">I follow Markham (2018) by “troubling” the concept of data. </w:t>
      </w:r>
      <w:r w:rsidR="00851FB4" w:rsidRPr="0028284F">
        <w:t xml:space="preserve">They are rhetorical constructions </w:t>
      </w:r>
      <w:r w:rsidR="00851FB4">
        <w:t>from</w:t>
      </w:r>
      <w:r w:rsidR="00851FB4" w:rsidRPr="0028284F">
        <w:t xml:space="preserve"> the approach to collecting it </w:t>
      </w:r>
      <w:r w:rsidR="00851FB4">
        <w:t xml:space="preserve">(described later in this chapter) </w:t>
      </w:r>
      <w:r w:rsidR="00851FB4" w:rsidRPr="0028284F">
        <w:t xml:space="preserve">and </w:t>
      </w:r>
      <w:r w:rsidR="00851FB4">
        <w:t xml:space="preserve">to the approach to analyzing it (as seen in chapters 3-8). </w:t>
      </w:r>
      <w:r w:rsidR="00851FB4" w:rsidRPr="007D02B6">
        <w:t>Daniel Rosenberg (2013)</w:t>
      </w:r>
      <w:r w:rsidR="00851FB4">
        <w:t xml:space="preserve"> examined data on data by tracking the use of the word in the books represented in Google’s database. His historical accounting of word is interesting in its own right, but the importance for Rosenberg’s historical perspective is that he offers evidence for something that rhetoricians have inherently known, that is, “from the beginning, data was a rhetorical concept. Data means—and has meant for a very long time—that which is given prior to argument. As a consequence, the meaning of data must always shift with argumentative strategy and context” (p. 36). It becomes important then to make sure that the context of the data and how it came to be is made as transparent as possible.</w:t>
      </w:r>
      <w:r w:rsidR="00830314" w:rsidRPr="00830314">
        <w:t xml:space="preserve"> </w:t>
      </w:r>
      <w:r w:rsidR="00830314">
        <w:t xml:space="preserve">While I have included data and have been a proponent of using data to drive decision, I want to underscore that programmatic work in TPC needs to be data informed and values driven rather than </w:t>
      </w:r>
      <w:r w:rsidR="00F3326D">
        <w:t xml:space="preserve">simply </w:t>
      </w:r>
      <w:r w:rsidR="00830314">
        <w:t>“</w:t>
      </w:r>
      <w:proofErr w:type="gramStart"/>
      <w:r w:rsidR="00830314">
        <w:t>data-driven</w:t>
      </w:r>
      <w:proofErr w:type="gramEnd"/>
      <w:r w:rsidR="00830314">
        <w:t xml:space="preserve">.” Focusing on data informed and the values of the field ensures that decision making always considers the people—the </w:t>
      </w:r>
      <w:r w:rsidR="00830314">
        <w:lastRenderedPageBreak/>
        <w:t>students, faculty, and staff—that make our programs work</w:t>
      </w:r>
      <w:r w:rsidR="00DB7C26">
        <w:t xml:space="preserve"> (Melonçon, 2021)</w:t>
      </w:r>
      <w:r w:rsidR="00830314">
        <w:t xml:space="preserve">. Data is only one part of a larger picture. </w:t>
      </w:r>
    </w:p>
    <w:p w14:paraId="49FFAC7A" w14:textId="3A9F127D" w:rsidR="00833C50" w:rsidRDefault="00833C50" w:rsidP="00851FB4">
      <w:pPr>
        <w:pStyle w:val="NormalWeb"/>
      </w:pPr>
      <w:r>
        <w:t>“B</w:t>
      </w:r>
      <w:r>
        <w:rPr>
          <w:color w:val="000000"/>
        </w:rPr>
        <w:t xml:space="preserve">efore there are data, there are people—people who offer up their experience to be counted and analyzed, people who perform that counting and analysis, people who visualize the data and promote the findings of any </w:t>
      </w:r>
      <w:proofErr w:type="gramStart"/>
      <w:r>
        <w:rPr>
          <w:color w:val="000000"/>
        </w:rPr>
        <w:t>particular project</w:t>
      </w:r>
      <w:proofErr w:type="gramEnd"/>
      <w:r>
        <w:rPr>
          <w:color w:val="000000"/>
        </w:rPr>
        <w:t>, and people who use the product in the end. There are also, always, people who go uncounted—for better or for worse. And there are problems that cannot be represented—or addressed—by data alone” (</w:t>
      </w:r>
      <w:proofErr w:type="spellStart"/>
      <w:r>
        <w:rPr>
          <w:color w:val="000000"/>
        </w:rPr>
        <w:t>D’Ignazio</w:t>
      </w:r>
      <w:proofErr w:type="spellEnd"/>
      <w:r>
        <w:rPr>
          <w:color w:val="000000"/>
        </w:rPr>
        <w:t xml:space="preserve"> &amp; Klein, 2020, </w:t>
      </w:r>
      <w:proofErr w:type="spellStart"/>
      <w:r w:rsidRPr="007D02B6">
        <w:rPr>
          <w:color w:val="000000"/>
        </w:rPr>
        <w:t>n.p.</w:t>
      </w:r>
      <w:proofErr w:type="spellEnd"/>
      <w:r>
        <w:rPr>
          <w:color w:val="000000"/>
        </w:rPr>
        <w:t xml:space="preserve">). </w:t>
      </w:r>
      <w:r>
        <w:t xml:space="preserve">But the desire to want to put out all the data at one time is an important one because it underscores wanting to show all of the data in its field wide context. It then allows the data to be interpreted by others more readily, which is a key aspect of data justice, a transparency to open conversations. </w:t>
      </w:r>
      <w:r w:rsidR="000C5AD0">
        <w:t>Combining a</w:t>
      </w:r>
      <w:r>
        <w:t xml:space="preserve">ll the data </w:t>
      </w:r>
      <w:r w:rsidR="000C5AD0">
        <w:t xml:space="preserve">and insights </w:t>
      </w:r>
      <w:r>
        <w:t xml:space="preserve">from the </w:t>
      </w:r>
      <w:r w:rsidR="000C5AD0">
        <w:t xml:space="preserve">previously published pieces </w:t>
      </w:r>
      <w:r>
        <w:t>to th</w:t>
      </w:r>
      <w:r w:rsidR="000C5AD0">
        <w:t>is</w:t>
      </w:r>
      <w:r>
        <w:t xml:space="preserve"> larger one enable different views on curricular history of programs in TPC. Data provides insights into what is actually going on with TPC degree programs. Rather than relying on intuition or a sense of pattern making, field-wide data gives TPC faculty and administrators the ability to make decisions for their own contexts. This is the first step to a data justice</w:t>
      </w:r>
      <w:r w:rsidR="009D0763">
        <w:t xml:space="preserve">, and the opportunity for </w:t>
      </w:r>
      <w:r w:rsidR="00915EF4">
        <w:t xml:space="preserve">programmatic </w:t>
      </w:r>
      <w:r w:rsidR="009D0763">
        <w:t xml:space="preserve">data to contribute to larger </w:t>
      </w:r>
      <w:r w:rsidR="00915EF4">
        <w:t xml:space="preserve">aims. </w:t>
      </w:r>
    </w:p>
    <w:p w14:paraId="526F51E0" w14:textId="6B6F46E0" w:rsidR="0028284F" w:rsidRPr="00833C50" w:rsidRDefault="006233D5" w:rsidP="00833C50">
      <w:pPr>
        <w:pStyle w:val="NormalWeb"/>
        <w:rPr>
          <w:color w:val="000000"/>
        </w:rPr>
      </w:pPr>
      <w:r>
        <w:t>Catheri</w:t>
      </w:r>
      <w:r w:rsidR="00CF7F56">
        <w:t>n</w:t>
      </w:r>
      <w:r>
        <w:t>e D’Ignazio and Lauren Klein (2020) ask the important question, “</w:t>
      </w:r>
      <w:r>
        <w:rPr>
          <w:color w:val="000000"/>
        </w:rPr>
        <w:t>How can we use data to remake the world?</w:t>
      </w:r>
      <w:r w:rsidR="00EB4973">
        <w:rPr>
          <w:color w:val="000000"/>
        </w:rPr>
        <w:t xml:space="preserve"> This is complex and weighty task, and it will necessarily remain unfinished”</w:t>
      </w:r>
      <w:r w:rsidR="00EB4973" w:rsidRPr="00EB4973">
        <w:rPr>
          <w:color w:val="000000"/>
        </w:rPr>
        <w:t xml:space="preserve"> </w:t>
      </w:r>
      <w:r w:rsidR="00EB4973">
        <w:rPr>
          <w:color w:val="000000"/>
        </w:rPr>
        <w:t>(</w:t>
      </w:r>
      <w:proofErr w:type="spellStart"/>
      <w:r w:rsidR="00EB4973">
        <w:rPr>
          <w:color w:val="000000"/>
        </w:rPr>
        <w:t>n.p.</w:t>
      </w:r>
      <w:proofErr w:type="spellEnd"/>
      <w:r w:rsidR="00EB4973">
        <w:rPr>
          <w:color w:val="000000"/>
        </w:rPr>
        <w:t xml:space="preserve"> introduction online version)</w:t>
      </w:r>
      <w:r w:rsidR="00EB4973">
        <w:rPr>
          <w:rStyle w:val="FootnoteReference"/>
          <w:color w:val="000000"/>
        </w:rPr>
        <w:footnoteReference w:id="14"/>
      </w:r>
      <w:r w:rsidR="00EB4973">
        <w:rPr>
          <w:color w:val="000000"/>
        </w:rPr>
        <w:t xml:space="preserve"> In total agreement with them, the idea of what programmatic data should </w:t>
      </w:r>
      <w:r w:rsidR="00353AB9">
        <w:rPr>
          <w:color w:val="000000"/>
        </w:rPr>
        <w:t xml:space="preserve">do in </w:t>
      </w:r>
      <w:r w:rsidR="00EB4973">
        <w:rPr>
          <w:color w:val="000000"/>
        </w:rPr>
        <w:t xml:space="preserve">TPC </w:t>
      </w:r>
      <w:r w:rsidR="00353AB9">
        <w:rPr>
          <w:color w:val="000000"/>
        </w:rPr>
        <w:t xml:space="preserve">is </w:t>
      </w:r>
      <w:r w:rsidR="00EB4973">
        <w:rPr>
          <w:color w:val="000000"/>
        </w:rPr>
        <w:t xml:space="preserve">about what it values and how to best address the dual goals of most students: get a job but to also work to change that job to be more just and equitable or simultaneously to use their skills to do the same work in the world. </w:t>
      </w:r>
      <w:proofErr w:type="spellStart"/>
      <w:r w:rsidR="00EB4973">
        <w:rPr>
          <w:color w:val="000000"/>
        </w:rPr>
        <w:t>D’Ignazio</w:t>
      </w:r>
      <w:proofErr w:type="spellEnd"/>
      <w:r w:rsidR="00EB4973">
        <w:rPr>
          <w:color w:val="000000"/>
        </w:rPr>
        <w:t xml:space="preserve"> and Klein’s question was particularly important as I started to really think through what I meant by “data.”</w:t>
      </w:r>
      <w:r w:rsidR="006C3E4B">
        <w:rPr>
          <w:color w:val="000000"/>
        </w:rPr>
        <w:t xml:space="preserve"> I was able to articulate some of these ideas in a symposium presentation (2022 SCCI) when I actually talked about programmatic data as</w:t>
      </w:r>
      <w:r w:rsidR="00833C50">
        <w:rPr>
          <w:color w:val="000000"/>
        </w:rPr>
        <w:t xml:space="preserve"> </w:t>
      </w:r>
      <w:r w:rsidR="006C3E4B">
        <w:rPr>
          <w:color w:val="000000"/>
        </w:rPr>
        <w:t xml:space="preserve">the example to work through </w:t>
      </w:r>
      <w:r w:rsidR="00353AB9">
        <w:rPr>
          <w:color w:val="000000"/>
        </w:rPr>
        <w:t>the question “</w:t>
      </w:r>
      <w:r w:rsidR="006C3E4B">
        <w:rPr>
          <w:color w:val="000000"/>
        </w:rPr>
        <w:t>what does TPC mean by data.</w:t>
      </w:r>
      <w:r w:rsidR="00353AB9">
        <w:rPr>
          <w:color w:val="000000"/>
        </w:rPr>
        <w:t>”</w:t>
      </w:r>
    </w:p>
    <w:p w14:paraId="473E70AE" w14:textId="319E2C73" w:rsidR="00381BAC" w:rsidRDefault="00CF7F56" w:rsidP="00381BAC">
      <w:proofErr w:type="gramStart"/>
      <w:r>
        <w:t>So</w:t>
      </w:r>
      <w:proofErr w:type="gramEnd"/>
      <w:r>
        <w:t xml:space="preserve"> as I started to consider what data I wanted to gather and what it would like it, I recognized </w:t>
      </w:r>
      <w:r w:rsidR="00D52313">
        <w:t>I want</w:t>
      </w:r>
      <w:r w:rsidR="00915EF4">
        <w:t>ed</w:t>
      </w:r>
      <w:r w:rsidR="00D52313">
        <w:t xml:space="preserve"> to focus more on </w:t>
      </w:r>
      <w:r w:rsidR="00915EF4">
        <w:t>“</w:t>
      </w:r>
      <w:r w:rsidR="00D52313">
        <w:t>what do data do?</w:t>
      </w:r>
      <w:r w:rsidR="00915EF4">
        <w:t>”</w:t>
      </w:r>
      <w:r w:rsidR="00D52313">
        <w:t xml:space="preserve"> </w:t>
      </w:r>
      <w:r w:rsidR="00915EF4">
        <w:t>a</w:t>
      </w:r>
      <w:r w:rsidR="00D52313">
        <w:t xml:space="preserve">s it relates to this project and the context of TPC in the academy. Situating the question of what do data </w:t>
      </w:r>
      <w:proofErr w:type="spellStart"/>
      <w:r w:rsidR="00D52313">
        <w:t>do</w:t>
      </w:r>
      <w:proofErr w:type="spellEnd"/>
      <w:r w:rsidR="00D52313">
        <w:t xml:space="preserve"> within a context allows a depth and richness of data within a specific time and historical moment. </w:t>
      </w:r>
      <w:r w:rsidR="00D52313" w:rsidRPr="0061463C">
        <w:t xml:space="preserve">I am aware of the baggage embedded in the term data. Often held up as an objective orientation, data is, of course, not objective. The act of limiting my study to TPC programs and going to lengths to determine what one was (described below) removes the objectivity of data. </w:t>
      </w:r>
      <w:r w:rsidR="00915EF4">
        <w:t xml:space="preserve">For example, </w:t>
      </w:r>
      <w:r w:rsidR="00AD0772">
        <w:t>limiting this work on programs to TPC programs rather than more general writing programs already performs a pre-selection move that highlights the subjectivity of the data. However,</w:t>
      </w:r>
      <w:r w:rsidR="00D52313" w:rsidRPr="0061463C">
        <w:t xml:space="preserve"> I hope that my explanation of the decisions and choices illustrate enough internal validity and reliability to allow for readers to appreciate the data within this </w:t>
      </w:r>
      <w:r w:rsidR="00A0548E" w:rsidRPr="0061463C">
        <w:t>subjective</w:t>
      </w:r>
      <w:r w:rsidR="00D52313" w:rsidRPr="0061463C">
        <w:t xml:space="preserve"> framework. </w:t>
      </w:r>
      <w:r w:rsidR="00AD0772">
        <w:t xml:space="preserve">And that framework is founded on the idea of knowledge infrastructures and classification. </w:t>
      </w:r>
    </w:p>
    <w:p w14:paraId="77442664" w14:textId="399321EC" w:rsidR="00A0548E" w:rsidRDefault="00C67EED" w:rsidP="00517ABD">
      <w:pPr>
        <w:pStyle w:val="Heading2"/>
      </w:pPr>
      <w:r>
        <w:lastRenderedPageBreak/>
        <w:t xml:space="preserve">Knowledge Infrastructures </w:t>
      </w:r>
      <w:r w:rsidR="00A86D07">
        <w:t>and</w:t>
      </w:r>
      <w:r>
        <w:t xml:space="preserve"> Classification </w:t>
      </w:r>
    </w:p>
    <w:p w14:paraId="36E0EDE7" w14:textId="26591876" w:rsidR="00442B40" w:rsidRDefault="002E4430" w:rsidP="00442B40">
      <w:pPr>
        <w:autoSpaceDE w:val="0"/>
        <w:autoSpaceDN w:val="0"/>
        <w:adjustRightInd w:val="0"/>
      </w:pPr>
      <w:r>
        <w:t>The final aspect to my methodological grounding I borrow knowledge infrastructure</w:t>
      </w:r>
      <w:r w:rsidR="00096BF2">
        <w:rPr>
          <w:rStyle w:val="FootnoteReference"/>
        </w:rPr>
        <w:footnoteReference w:id="15"/>
      </w:r>
      <w:r>
        <w:t xml:space="preserve"> from Paul Edwards (2010</w:t>
      </w:r>
      <w:r w:rsidR="00407B94">
        <w:t>)</w:t>
      </w:r>
      <w:r>
        <w:t xml:space="preserve"> and </w:t>
      </w:r>
      <w:r w:rsidR="00CD4408">
        <w:t>Christine Borgman (2015)</w:t>
      </w:r>
      <w:r>
        <w:t xml:space="preserve"> because it gave me a way to </w:t>
      </w:r>
      <w:r w:rsidR="00CD4408">
        <w:t xml:space="preserve">envision this project </w:t>
      </w:r>
      <w:r>
        <w:t>to consider all parts of the research process. For Edwards (2010)</w:t>
      </w:r>
      <w:r w:rsidR="00407B94">
        <w:t>,</w:t>
      </w:r>
      <w:r>
        <w:t xml:space="preserve"> “</w:t>
      </w:r>
      <w:r w:rsidR="00407B94">
        <w:t>k</w:t>
      </w:r>
      <w:r w:rsidRPr="0058719C">
        <w:t>nowledge infrastructures comprise robust networks of people, artifacts, and institutions that generate, share, and maintain specific knowledge about the human and natural worlds.” (</w:t>
      </w:r>
      <w:r w:rsidR="0058719C">
        <w:t>p</w:t>
      </w:r>
      <w:r w:rsidRPr="0058719C">
        <w:t>.</w:t>
      </w:r>
      <w:r w:rsidR="0058719C">
        <w:t xml:space="preserve"> </w:t>
      </w:r>
      <w:r w:rsidRPr="0058719C">
        <w:t>17). Borg</w:t>
      </w:r>
      <w:r w:rsidR="00132919">
        <w:t>m</w:t>
      </w:r>
      <w:r w:rsidRPr="0058719C">
        <w:t xml:space="preserve">an (2015) builds on this definition by explicitly </w:t>
      </w:r>
      <w:r w:rsidR="0058719C" w:rsidRPr="0058719C">
        <w:t>considering</w:t>
      </w:r>
      <w:r w:rsidRPr="0058719C">
        <w:t xml:space="preserve"> that </w:t>
      </w:r>
      <w:r w:rsidR="0058719C" w:rsidRPr="0058719C">
        <w:t>“</w:t>
      </w:r>
      <w:r w:rsidR="00CD4408" w:rsidRPr="0058719C">
        <w:t>data have no value or meaning in isolation; they exist within a knowledge infrastructure</w:t>
      </w:r>
      <w:r w:rsidR="00407B94">
        <w:t>—</w:t>
      </w:r>
      <w:r w:rsidR="00CD4408" w:rsidRPr="0058719C">
        <w:t>an</w:t>
      </w:r>
      <w:r w:rsidR="00407B94">
        <w:t xml:space="preserve"> </w:t>
      </w:r>
      <w:r w:rsidR="00CD4408" w:rsidRPr="0058719C">
        <w:t>ecology of people, practices, technologies, institutions, material objects, and relationships</w:t>
      </w:r>
      <w:r w:rsidR="009068B7">
        <w:t>. All parts of the infrastructure are in flux with shifts in stakeholders, technologies, policies, and power</w:t>
      </w:r>
      <w:r w:rsidR="0058719C" w:rsidRPr="0058719C">
        <w:t>” (p</w:t>
      </w:r>
      <w:r w:rsidR="0058719C" w:rsidRPr="009068B7">
        <w:t xml:space="preserve">. </w:t>
      </w:r>
      <w:r w:rsidR="009068B7" w:rsidRPr="009068B7">
        <w:t>4</w:t>
      </w:r>
      <w:r w:rsidR="0058719C" w:rsidRPr="009068B7">
        <w:t>)</w:t>
      </w:r>
      <w:r w:rsidR="00CD4408" w:rsidRPr="009068B7">
        <w:t>.</w:t>
      </w:r>
      <w:r w:rsidR="00CD4408" w:rsidRPr="0058719C">
        <w:t> </w:t>
      </w:r>
      <w:r w:rsidR="0058719C">
        <w:t xml:space="preserve">I was drawn to knowledge infrastructures because of the way it gives a theoretical grounding to curricular histories. It highlights </w:t>
      </w:r>
      <w:proofErr w:type="gramStart"/>
      <w:r w:rsidR="0058719C">
        <w:t>all of</w:t>
      </w:r>
      <w:proofErr w:type="gramEnd"/>
      <w:r w:rsidR="0058719C">
        <w:t xml:space="preserve"> the components that enable curricula to come into being, while also aligning well with the concept of classification. </w:t>
      </w:r>
    </w:p>
    <w:p w14:paraId="7FE1916E" w14:textId="77777777" w:rsidR="00442B40" w:rsidRDefault="00442B40" w:rsidP="00442B40">
      <w:pPr>
        <w:autoSpaceDE w:val="0"/>
        <w:autoSpaceDN w:val="0"/>
        <w:adjustRightInd w:val="0"/>
      </w:pPr>
    </w:p>
    <w:p w14:paraId="5D7A4DF7" w14:textId="0BED30DF" w:rsidR="00CD4408" w:rsidRPr="00442B40" w:rsidRDefault="00442B40" w:rsidP="00442B40">
      <w:pPr>
        <w:autoSpaceDE w:val="0"/>
        <w:autoSpaceDN w:val="0"/>
        <w:adjustRightInd w:val="0"/>
        <w:rPr>
          <w:rFonts w:ascii="Merriweather" w:eastAsia="Times New Roman" w:hAnsi="Merriweather"/>
          <w:color w:val="333333"/>
          <w:sz w:val="26"/>
          <w:szCs w:val="26"/>
          <w:shd w:val="clear" w:color="auto" w:fill="FFFFFF"/>
        </w:rPr>
      </w:pPr>
      <w:r>
        <w:t xml:space="preserve">Using a field wide approach to a curricular history requires classification of the knowledge infrastructure. </w:t>
      </w:r>
      <w:bookmarkStart w:id="0" w:name="OLE_LINK2"/>
      <w:r w:rsidR="00CD4408">
        <w:t xml:space="preserve">“Classifications arrange </w:t>
      </w:r>
      <w:r w:rsidR="0058719C">
        <w:t>resources</w:t>
      </w:r>
      <w:r w:rsidR="00CD4408">
        <w:t xml:space="preserve"> to support discovery, selection, combination, integration, analysis, and other purposeful activity in every organi</w:t>
      </w:r>
      <w:r w:rsidR="00096BF2">
        <w:t>zing s</w:t>
      </w:r>
      <w:r w:rsidR="00CD4408">
        <w:t xml:space="preserve">ystem” (Glushko, et.al., </w:t>
      </w:r>
      <w:r w:rsidR="00FE7127">
        <w:t>2013</w:t>
      </w:r>
      <w:r w:rsidR="00096BF2">
        <w:t xml:space="preserve">, </w:t>
      </w:r>
      <w:r w:rsidR="00CD4408">
        <w:t xml:space="preserve">p. 281). </w:t>
      </w:r>
      <w:bookmarkEnd w:id="0"/>
      <w:r w:rsidR="00CD4408">
        <w:t xml:space="preserve">Classification systems can be useful in helping match like items and to like and see what trends and/or strengths and weaknesses we may have as a field. </w:t>
      </w:r>
      <w:r w:rsidR="00CD4408" w:rsidRPr="009B4A7A">
        <w:t xml:space="preserve">Bowker and Star </w:t>
      </w:r>
      <w:r w:rsidRPr="009B4A7A">
        <w:t>(</w:t>
      </w:r>
      <w:r w:rsidR="009B4A7A">
        <w:t>1999</w:t>
      </w:r>
      <w:r w:rsidRPr="00442B40">
        <w:t>)</w:t>
      </w:r>
      <w:r w:rsidR="009B4A7A">
        <w:t xml:space="preserve"> </w:t>
      </w:r>
      <w:r w:rsidR="00CD4408">
        <w:t>cogently argue</w:t>
      </w:r>
      <w:r w:rsidR="009B4A7A">
        <w:t>d</w:t>
      </w:r>
      <w:r w:rsidR="00CD4408">
        <w:t xml:space="preserve"> that classification systems </w:t>
      </w:r>
      <w:r w:rsidR="009B4A7A">
        <w:t>are</w:t>
      </w:r>
      <w:r w:rsidR="00CD4408">
        <w:t xml:space="preserve"> an inherent part of human nature as we try to organize and make sense of the dense array of information that surrounds us.</w:t>
      </w:r>
      <w:r w:rsidR="00A86D07">
        <w:t xml:space="preserve"> </w:t>
      </w:r>
      <w:r w:rsidR="00CD4408">
        <w:t xml:space="preserve">These classification systems through their infrastructures help others create meaning. Beyond organizing programs based on the type of program it is, </w:t>
      </w:r>
      <w:r w:rsidR="009B4A7A">
        <w:t>e.g.,</w:t>
      </w:r>
      <w:r w:rsidR="00CD4408">
        <w:t xml:space="preserve"> undergraduate degree or graduate certificate, I take a much broader approach to classification systems.</w:t>
      </w:r>
    </w:p>
    <w:p w14:paraId="380DE388" w14:textId="77777777" w:rsidR="00CD4408" w:rsidRDefault="00CD4408" w:rsidP="00CD4408"/>
    <w:p w14:paraId="0C9DB707" w14:textId="6BCE86A2" w:rsidR="00CD4408" w:rsidRDefault="00CD4408" w:rsidP="00CD4408">
      <w:r>
        <w:t xml:space="preserve">The reason for that is quite simple. As the data in this </w:t>
      </w:r>
      <w:r w:rsidR="00A86D07">
        <w:t>book</w:t>
      </w:r>
      <w:r>
        <w:t xml:space="preserve"> will show, programs in </w:t>
      </w:r>
      <w:r w:rsidR="00853F4B">
        <w:t>TPC</w:t>
      </w:r>
      <w:r>
        <w:t xml:space="preserve"> do have commonalities </w:t>
      </w:r>
      <w:r w:rsidR="00A86D07">
        <w:t>that</w:t>
      </w:r>
      <w:r>
        <w:t xml:space="preserve"> would allow them to be sorted and labeled in numerous ways. My approach is one way, and I wanted to make sure that it was transparent enough to </w:t>
      </w:r>
      <w:r w:rsidR="00126873">
        <w:t xml:space="preserve">replicate, but more so, to </w:t>
      </w:r>
      <w:r>
        <w:t xml:space="preserve">make alternative approaches easier to </w:t>
      </w:r>
      <w:r w:rsidR="00126873">
        <w:t>develop</w:t>
      </w:r>
      <w:r>
        <w:t xml:space="preserve"> and advance. </w:t>
      </w:r>
      <w:r w:rsidR="00126873">
        <w:t>U</w:t>
      </w:r>
      <w:r>
        <w:t xml:space="preserve">sing a minimalistic classification scheme </w:t>
      </w:r>
      <w:r w:rsidR="009B4A7A">
        <w:t>opens</w:t>
      </w:r>
      <w:r>
        <w:t xml:space="preserve"> the data for a wider variety of interpretation and encourages the hard work of really analyzing the data. For example, </w:t>
      </w:r>
      <w:r w:rsidR="009B4A7A">
        <w:t xml:space="preserve">Isabelle </w:t>
      </w:r>
      <w:r>
        <w:t xml:space="preserve">Thompson and </w:t>
      </w:r>
      <w:r w:rsidR="009B4A7A">
        <w:t xml:space="preserve">David </w:t>
      </w:r>
      <w:r>
        <w:t xml:space="preserve">Yeats (2010) offered a way to classify programs into different types from technical to professional. </w:t>
      </w:r>
      <w:r w:rsidR="009B4A7A">
        <w:t xml:space="preserve">They asked via survey for TPC PAs to place their program on a continuum of classification. Unlike their attempt at classifying the types of TPC programs, I opted not to do that. Why? Because the classification system they developed is fraught with problems. </w:t>
      </w:r>
      <w:r>
        <w:t>Most notably, it was the</w:t>
      </w:r>
      <w:r w:rsidR="009B4A7A">
        <w:t xml:space="preserve"> TPC PA’s opinion, or whomever completed the survey, </w:t>
      </w:r>
      <w:r>
        <w:t xml:space="preserve">where </w:t>
      </w:r>
      <w:r w:rsidR="009B4A7A">
        <w:t xml:space="preserve">the program </w:t>
      </w:r>
      <w:r>
        <w:t>should be aligned</w:t>
      </w:r>
      <w:r w:rsidR="009B4A7A">
        <w:t xml:space="preserve">, and </w:t>
      </w:r>
      <w:r>
        <w:t xml:space="preserve">I can assure you from </w:t>
      </w:r>
      <w:r w:rsidR="009B4A7A">
        <w:t>interview data</w:t>
      </w:r>
      <w:r>
        <w:t xml:space="preserve"> that rarely do faculty agree to that extent</w:t>
      </w:r>
      <w:r w:rsidR="009B4A7A">
        <w:t xml:space="preserve">. More so, </w:t>
      </w:r>
      <w:r>
        <w:t xml:space="preserve">most programs have enough flexibility built in that students can choose a path built </w:t>
      </w:r>
      <w:r>
        <w:lastRenderedPageBreak/>
        <w:t xml:space="preserve">around electives that would run counter to the program administrator’s own classification of the program type. This is an important distinction. I completely recognize why Thompson and Yeats </w:t>
      </w:r>
      <w:r w:rsidR="009B4A7A">
        <w:t xml:space="preserve">(2010) </w:t>
      </w:r>
      <w:r>
        <w:t>tried to categorize and align programs the way that they did. But their classification system further breaks down because no program, based on actual programmatic data and courses offered, fits neatly into any one category.</w:t>
      </w:r>
    </w:p>
    <w:p w14:paraId="564F072E" w14:textId="30D35CE2" w:rsidR="00EA6A7B" w:rsidRDefault="00EA6A7B" w:rsidP="00CD4408"/>
    <w:p w14:paraId="6D301D5F" w14:textId="139B6722" w:rsidR="00EA6A7B" w:rsidRDefault="009B4A7A" w:rsidP="00EA6A7B">
      <w:r>
        <w:t>Thus, re</w:t>
      </w:r>
      <w:r w:rsidR="00EA6A7B">
        <w:t xml:space="preserve">lying on the degree type as the major classification system means I have invoked the institutional rhetorics of degrees. Degrees and their related requirements are working classification systems maintained by the government </w:t>
      </w:r>
      <w:r w:rsidR="00407B94">
        <w:t xml:space="preserve">(Bowker &amp; Star, 1999, p. 320) </w:t>
      </w:r>
      <w:r w:rsidR="00EA6A7B">
        <w:t>in the case of public institutions and are co-opted in the case of private institutions to maintain consistency across higher education. Bureaucratic classification systems are useful however, since they are nationally recognized forms of classification</w:t>
      </w:r>
      <w:r w:rsidR="002C15F1">
        <w:t>.</w:t>
      </w:r>
      <w:r w:rsidR="00EA6A7B">
        <w:t xml:space="preserve"> In this case, fulfilling the degree requirements means that the institution awards a degree</w:t>
      </w:r>
      <w:r>
        <w:t xml:space="preserve"> </w:t>
      </w:r>
      <w:r w:rsidR="00EA6A7B">
        <w:t>(a recognized credential) that is recognized in some manner by a large number of organizations outside of higher education.</w:t>
      </w:r>
      <w:r>
        <w:t xml:space="preserve"> </w:t>
      </w:r>
      <w:r w:rsidR="00EA6A7B">
        <w:t xml:space="preserve">Leaning on such </w:t>
      </w:r>
      <w:r w:rsidR="002C15F1">
        <w:t>government-controlled</w:t>
      </w:r>
      <w:r w:rsidR="00EA6A7B">
        <w:t xml:space="preserve"> information systems reminds us that “we need to recognize that all information systems are necessarily suffused with ethical and political values, modulated by local administrative procedures (Bowker </w:t>
      </w:r>
      <w:r>
        <w:t>&amp;</w:t>
      </w:r>
      <w:r w:rsidR="00C9133E">
        <w:t xml:space="preserve"> </w:t>
      </w:r>
      <w:r w:rsidR="00EA6A7B">
        <w:t>Star,</w:t>
      </w:r>
      <w:r w:rsidR="00C9133E">
        <w:t xml:space="preserve"> </w:t>
      </w:r>
      <w:r>
        <w:t xml:space="preserve">1999, </w:t>
      </w:r>
      <w:r w:rsidR="00EA6A7B">
        <w:t>p.</w:t>
      </w:r>
      <w:r w:rsidR="00C9133E">
        <w:t xml:space="preserve"> </w:t>
      </w:r>
      <w:r w:rsidR="00EA6A7B">
        <w:t>321) which is completely true in the case of official degree requirements and curricula. The need or recognize the locally situated nature of degree programs cannot be escaped nor should it. However, in granting some primacy to the local context, it is equally important to understand that all programs are part of a programmatic infrastructure that must in part answer to professional organizations and more importantly to those who hire our students. TPC cannot escape, nor should it, it’s dual identity as both academic field and professional job.</w:t>
      </w:r>
    </w:p>
    <w:p w14:paraId="379F1687" w14:textId="01242928" w:rsidR="00EA6A7B" w:rsidRDefault="00EA6A7B" w:rsidP="00CD4408"/>
    <w:p w14:paraId="5AEE6194" w14:textId="7F6936A6" w:rsidR="00EA6A7B" w:rsidRDefault="00EA6A7B" w:rsidP="00EA6A7B">
      <w:r>
        <w:t>When I classify types of courses</w:t>
      </w:r>
      <w:r w:rsidR="00FB7300">
        <w:t xml:space="preserve"> via codes (described below)</w:t>
      </w:r>
      <w:r>
        <w:t>, this is where the real, and potentially controversial consequences</w:t>
      </w:r>
      <w:r w:rsidR="00853F4B">
        <w:t xml:space="preserve"> of </w:t>
      </w:r>
      <w:proofErr w:type="gramStart"/>
      <w:r w:rsidR="00853F4B">
        <w:t>the</w:t>
      </w:r>
      <w:r>
        <w:t>,</w:t>
      </w:r>
      <w:proofErr w:type="gramEnd"/>
      <w:r>
        <w:t xml:space="preserve"> work occurs, and this is where I move outward from accepted infrastructural systems of institutions into a field driven classification system to help faculty and administrators understand programs at the nationwide field level. “To organize is to create capabilities by intentionally imposing order and structure” (Glushko, 2013 p.1). This definition of organization forms the foundation and purpose of this book. Organizing field-wide programmatic </w:t>
      </w:r>
      <w:r w:rsidR="00067DC1">
        <w:t xml:space="preserve">data </w:t>
      </w:r>
      <w:r>
        <w:t>imposes a structure and order that creates capabilities for faculty and administrators, and other stakeholders to more readily see what it is that we do. More specifically, the practice of classification enables programmatic data to be organized to identify curricular strengths and weaknesses and to create the opportunity to ask questions of the field that we have yet to be able to ask.</w:t>
      </w:r>
      <w:r w:rsidR="009B4A7A">
        <w:t xml:space="preserve"> (Refer to chapter 1 for some of these questions.)</w:t>
      </w:r>
      <w:r>
        <w:t xml:space="preserve"> </w:t>
      </w:r>
      <w:r w:rsidR="00853F4B">
        <w:t xml:space="preserve">Classification, however, does not remove all the ambiguity of the data (Feinberg, 2023, p. 3) but it does give TPC a way to see the patterns. </w:t>
      </w:r>
    </w:p>
    <w:p w14:paraId="10C3F966" w14:textId="77777777" w:rsidR="002E2283" w:rsidRDefault="002E2283" w:rsidP="00EC0A99"/>
    <w:p w14:paraId="34AD428E" w14:textId="615162FE" w:rsidR="00EC0A99" w:rsidRDefault="00EC0A99" w:rsidP="00EC0A99">
      <w:r>
        <w:t xml:space="preserve">The goal of any classification system is to simply organize (the first line of chapter 1) and to help us see information’s pattern. As Bowker and Star </w:t>
      </w:r>
      <w:r w:rsidR="009B4A7A">
        <w:t xml:space="preserve">(1999) </w:t>
      </w:r>
      <w:r>
        <w:t xml:space="preserve">argued, “all information systems are necessarily suffused with ethical and political values, modulated by local administrative procedures” (p. 321) and this data and </w:t>
      </w:r>
      <w:r w:rsidR="009B4A7A">
        <w:t>its</w:t>
      </w:r>
      <w:r>
        <w:t xml:space="preserve"> subsequent classification system is no exception. What I hope, however, is that the transparency and discussion of </w:t>
      </w:r>
      <w:r w:rsidR="00C9133E">
        <w:t>decisions made</w:t>
      </w:r>
      <w:r>
        <w:t xml:space="preserve"> will enable readers to follow </w:t>
      </w:r>
      <w:r w:rsidR="002E2283">
        <w:t>the</w:t>
      </w:r>
      <w:r>
        <w:t xml:space="preserve"> decisions I made and then to go back to </w:t>
      </w:r>
      <w:r>
        <w:lastRenderedPageBreak/>
        <w:t xml:space="preserve">the data to verify the information and/or create their own systems that are in turn embedded with ethical and political values. I hope that in designing the database and concomitant searching capabilities that readers will be able to see what was obscured by my own research stance, by the constraints of time and space, and simply, by my own orientation and bias based on experiences and practices. </w:t>
      </w:r>
      <w:r w:rsidR="00C9133E">
        <w:t>M</w:t>
      </w:r>
      <w:r>
        <w:t xml:space="preserve">y insistence to include a searchable database was tied to </w:t>
      </w:r>
      <w:r w:rsidR="00C9133E">
        <w:t>my</w:t>
      </w:r>
      <w:r>
        <w:t xml:space="preserve"> desire to “design </w:t>
      </w:r>
      <w:r w:rsidR="00C9133E">
        <w:t>classification systems</w:t>
      </w:r>
      <w:r>
        <w:t xml:space="preserve"> that do not foreclose on rearrangements suggested by new forms of social and natural knowledge” (Bowker </w:t>
      </w:r>
      <w:r w:rsidR="00C9133E">
        <w:t xml:space="preserve">&amp; </w:t>
      </w:r>
      <w:r>
        <w:t>Star, p. 321)</w:t>
      </w:r>
      <w:r w:rsidR="00C9133E">
        <w:t>, a</w:t>
      </w:r>
      <w:r w:rsidR="00F94CEF">
        <w:t>nd to realize the idea that data has different consequences for different people.</w:t>
      </w:r>
    </w:p>
    <w:p w14:paraId="75DF228A" w14:textId="77777777" w:rsidR="00EC0A99" w:rsidRDefault="00EC0A99" w:rsidP="00EC0A99"/>
    <w:p w14:paraId="3762F6F3" w14:textId="0E902CAC" w:rsidR="00B32B18" w:rsidRDefault="00B32B18" w:rsidP="00B32B18">
      <w:r>
        <w:t xml:space="preserve">I am taking the data and its </w:t>
      </w:r>
      <w:r w:rsidR="002B0D5F">
        <w:t>knowledge</w:t>
      </w:r>
      <w:r>
        <w:t xml:space="preserve"> infrastructure and classification scheme and placing it into existing conversations about programs. In some cases, those existing conversations date back 30 years to the first instances of trying to understand programs through classifying them. I</w:t>
      </w:r>
      <w:r w:rsidR="002B0D5F">
        <w:t>n</w:t>
      </w:r>
      <w:r>
        <w:t xml:space="preserve"> other cases, the discussions are more contemporary as I integrate recent scholarship on programs with current discussions of the purpose of higher education and degrees. Throughout all of it, I hopefully never lose sight of TPC’s unique identity</w:t>
      </w:r>
      <w:r w:rsidR="002B0D5F">
        <w:t>,</w:t>
      </w:r>
      <w:r>
        <w:t xml:space="preserve"> </w:t>
      </w:r>
      <w:r w:rsidR="002B0D5F">
        <w:t xml:space="preserve">as both academic field and professional job classification, </w:t>
      </w:r>
      <w:r>
        <w:t xml:space="preserve">because it is paramount in any discussion of the curricular history of the field. </w:t>
      </w:r>
    </w:p>
    <w:p w14:paraId="6C136065" w14:textId="77777777" w:rsidR="0058719C" w:rsidRDefault="0058719C" w:rsidP="00B32B18"/>
    <w:p w14:paraId="707AE5FE" w14:textId="5A7C1031" w:rsidR="002B33F9" w:rsidRDefault="00220BA0" w:rsidP="002B33F9">
      <w:pPr>
        <w:pStyle w:val="Heading1"/>
      </w:pPr>
      <w:r>
        <w:t>Methods</w:t>
      </w:r>
      <w:r w:rsidR="00C74A0C">
        <w:t xml:space="preserve"> and Analytic Approach</w:t>
      </w:r>
    </w:p>
    <w:p w14:paraId="2D9FC4BE" w14:textId="7C671907" w:rsidR="006E5145" w:rsidRDefault="006E5145" w:rsidP="003154C3"/>
    <w:p w14:paraId="499D6E87" w14:textId="7EF7EA7B" w:rsidR="00F76D98" w:rsidRDefault="008144C1" w:rsidP="00FE3920">
      <w:r>
        <w:t xml:space="preserve">Kirk </w:t>
      </w:r>
      <w:proofErr w:type="gramStart"/>
      <w:r>
        <w:t>St.Amant</w:t>
      </w:r>
      <w:proofErr w:type="gramEnd"/>
      <w:r>
        <w:t xml:space="preserve"> </w:t>
      </w:r>
      <w:r w:rsidR="00F12B44">
        <w:t xml:space="preserve">and I </w:t>
      </w:r>
      <w:r>
        <w:t>(2019)</w:t>
      </w:r>
      <w:r w:rsidR="00F12B44">
        <w:t xml:space="preserve"> </w:t>
      </w:r>
      <w:r>
        <w:t>defined method as “the approach used to gather research data</w:t>
      </w:r>
      <w:r w:rsidR="002C15F1">
        <w:t xml:space="preserve">,” </w:t>
      </w:r>
      <w:r w:rsidR="00F12B44">
        <w:t>and we believe that “</w:t>
      </w:r>
      <w:r w:rsidRPr="00F12B44">
        <w:t>methods are then a more accurate marker of</w:t>
      </w:r>
      <w:r w:rsidR="00F12B44" w:rsidRPr="00F12B44">
        <w:t xml:space="preserve"> </w:t>
      </w:r>
      <w:r w:rsidRPr="00F12B44">
        <w:t>disciplines and fields than the theories they may use</w:t>
      </w:r>
      <w:r w:rsidR="00F12B44" w:rsidRPr="00F12B44">
        <w:t>” (p</w:t>
      </w:r>
      <w:r w:rsidR="002C15F1">
        <w:t>.</w:t>
      </w:r>
      <w:r w:rsidR="00F12B44" w:rsidRPr="00F12B44">
        <w:t xml:space="preserve"> 131).</w:t>
      </w:r>
      <w:r w:rsidR="007D729A">
        <w:t xml:space="preserve"> </w:t>
      </w:r>
      <w:r w:rsidR="002C15F1">
        <w:rPr>
          <w:rFonts w:eastAsia="Times New Roman" w:cs="Times New Roman"/>
        </w:rPr>
        <w:t>A point</w:t>
      </w:r>
      <w:r w:rsidR="007D729A">
        <w:rPr>
          <w:rFonts w:eastAsia="Times New Roman" w:cs="Times New Roman"/>
        </w:rPr>
        <w:t xml:space="preserve"> we made was that for TPC’s research to </w:t>
      </w:r>
      <w:r w:rsidR="007D729A" w:rsidRPr="007D729A">
        <w:rPr>
          <w:rFonts w:eastAsia="Times New Roman" w:cs="Times New Roman"/>
        </w:rPr>
        <w:t>be sustainable, researchers need to conduct more empirical research</w:t>
      </w:r>
      <w:r w:rsidR="007D729A">
        <w:rPr>
          <w:rFonts w:eastAsia="Times New Roman" w:cs="Times New Roman"/>
        </w:rPr>
        <w:t xml:space="preserve"> with stronger research study design. Specifically, </w:t>
      </w:r>
      <w:r w:rsidR="00A5207F">
        <w:rPr>
          <w:rFonts w:eastAsia="Times New Roman" w:cs="Times New Roman"/>
        </w:rPr>
        <w:t xml:space="preserve">TPC needs </w:t>
      </w:r>
      <w:r w:rsidR="007D729A">
        <w:rPr>
          <w:rFonts w:eastAsia="Times New Roman" w:cs="Times New Roman"/>
        </w:rPr>
        <w:t xml:space="preserve">more detail </w:t>
      </w:r>
      <w:r w:rsidR="00A5207F">
        <w:rPr>
          <w:rFonts w:eastAsia="Times New Roman" w:cs="Times New Roman"/>
        </w:rPr>
        <w:t>in the explanation of methods use</w:t>
      </w:r>
      <w:r w:rsidR="007D729A">
        <w:rPr>
          <w:rFonts w:eastAsia="Times New Roman" w:cs="Times New Roman"/>
        </w:rPr>
        <w:t xml:space="preserve">. For this project, </w:t>
      </w:r>
      <w:r w:rsidR="007D729A">
        <w:t>e</w:t>
      </w:r>
      <w:r w:rsidR="0061463C">
        <w:t>xplaining the process of data collection is just as important as the data analysis. Without understanding how</w:t>
      </w:r>
      <w:r w:rsidR="007475F5">
        <w:t xml:space="preserve"> the data</w:t>
      </w:r>
      <w:r w:rsidR="0061463C">
        <w:t xml:space="preserve"> came into being, </w:t>
      </w:r>
      <w:r w:rsidR="007D729A">
        <w:t xml:space="preserve">it is difficult for readers to believe the results. In this section, </w:t>
      </w:r>
      <w:r w:rsidR="00F76D98">
        <w:t xml:space="preserve">I start with an overview of what came to be a longitudinal study and how I define that, and then </w:t>
      </w:r>
      <w:r w:rsidR="007D729A">
        <w:t xml:space="preserve">I discuss the two methods I used, textual analysis (via systematic data gathering) and interviews. </w:t>
      </w:r>
    </w:p>
    <w:p w14:paraId="7A2718CF" w14:textId="0DECF0AB" w:rsidR="00F76D98" w:rsidRDefault="00F76D98" w:rsidP="00F76D98">
      <w:pPr>
        <w:pStyle w:val="Heading2"/>
      </w:pPr>
      <w:r>
        <w:t>Longitudinal Study</w:t>
      </w:r>
    </w:p>
    <w:p w14:paraId="3A94759D" w14:textId="1BF5812C" w:rsidR="00582350" w:rsidRDefault="00B4687C" w:rsidP="002736B3">
      <w:r>
        <w:t xml:space="preserve">This chapter’s length is a by-product of </w:t>
      </w:r>
      <w:r w:rsidR="001A2A05">
        <w:t xml:space="preserve">the study being </w:t>
      </w:r>
      <w:r>
        <w:t xml:space="preserve">longitudinal, </w:t>
      </w:r>
      <w:proofErr w:type="gramStart"/>
      <w:r w:rsidR="001A2A05">
        <w:t>and also</w:t>
      </w:r>
      <w:proofErr w:type="gramEnd"/>
      <w:r w:rsidR="001A2A05">
        <w:t xml:space="preserve"> </w:t>
      </w:r>
      <w:r>
        <w:t xml:space="preserve">as an answer to the need in TPC, and the big tent of writing studies, to share “glimpses into others’ writing and researching lives” (Fishman &amp; Kimme Hea, 2023, p. 12). </w:t>
      </w:r>
      <w:r w:rsidR="002736B3">
        <w:t xml:space="preserve">I take </w:t>
      </w:r>
      <w:r w:rsidR="0040424F">
        <w:t>longitudinal</w:t>
      </w:r>
      <w:r w:rsidR="002736B3">
        <w:t xml:space="preserve"> study to mean </w:t>
      </w:r>
      <w:r w:rsidR="0040424F">
        <w:t xml:space="preserve">research </w:t>
      </w:r>
      <w:r w:rsidR="0040424F" w:rsidRPr="0040424F">
        <w:t>“designed to observe and investigate phenomena over time” and they are “also useful for describing trends over time” (</w:t>
      </w:r>
      <w:proofErr w:type="spellStart"/>
      <w:r w:rsidR="0040424F" w:rsidRPr="0040424F">
        <w:t>Segrin</w:t>
      </w:r>
      <w:proofErr w:type="spellEnd"/>
      <w:r w:rsidR="0040424F" w:rsidRPr="0040424F">
        <w:t xml:space="preserve">, 2017, </w:t>
      </w:r>
      <w:proofErr w:type="spellStart"/>
      <w:r w:rsidR="0040424F" w:rsidRPr="0040424F">
        <w:t>n.p.</w:t>
      </w:r>
      <w:proofErr w:type="spellEnd"/>
      <w:r w:rsidR="0040424F" w:rsidRPr="0040424F">
        <w:t xml:space="preserve">). </w:t>
      </w:r>
      <w:r w:rsidR="002736B3">
        <w:t xml:space="preserve">TPC has few </w:t>
      </w:r>
      <w:r w:rsidR="0040424F">
        <w:t>longitudinal</w:t>
      </w:r>
      <w:r w:rsidR="002736B3">
        <w:t xml:space="preserve"> studies. </w:t>
      </w:r>
      <w:r w:rsidR="0040424F">
        <w:t xml:space="preserve">The most </w:t>
      </w:r>
      <w:r w:rsidR="001A2A05">
        <w:t>well-known</w:t>
      </w:r>
      <w:r w:rsidR="0040424F">
        <w:t xml:space="preserve"> </w:t>
      </w:r>
      <w:r w:rsidR="00582350">
        <w:t>are</w:t>
      </w:r>
      <w:r w:rsidR="0040424F">
        <w:t xml:space="preserve"> likely Dorothy Windsor’s (2003) study of engineers</w:t>
      </w:r>
      <w:r w:rsidR="00582350">
        <w:t xml:space="preserve"> as they learn to write and adapt to context on the job, and Jim Henry (2000), who brought together insights from working professionals in his courses over several years. Other studies through the years, particularly ethnographic studies have alluded to being completed over time (e.g., Burleson, 2014), but are not by formal definition </w:t>
      </w:r>
      <w:r w:rsidR="00DE6794">
        <w:t>l</w:t>
      </w:r>
      <w:r w:rsidR="00582350">
        <w:t xml:space="preserve">ongitudinal. </w:t>
      </w:r>
    </w:p>
    <w:p w14:paraId="41CF9D76" w14:textId="77777777" w:rsidR="00582350" w:rsidRDefault="00582350" w:rsidP="002736B3"/>
    <w:p w14:paraId="37C10067" w14:textId="43941A73" w:rsidR="002736B3" w:rsidRDefault="00DE6794" w:rsidP="002736B3">
      <w:r>
        <w:lastRenderedPageBreak/>
        <w:t xml:space="preserve">Longitudinal studies are defined by </w:t>
      </w:r>
      <w:r w:rsidR="00582350">
        <w:t>gathering data</w:t>
      </w:r>
      <w:r>
        <w:t xml:space="preserve"> at defined intervals or increments.</w:t>
      </w:r>
      <w:r w:rsidR="00582350">
        <w:t xml:space="preserve"> To be longitudinal, information or observations should be completed on </w:t>
      </w:r>
      <w:r>
        <w:t xml:space="preserve">at least </w:t>
      </w:r>
      <w:r w:rsidR="00582350">
        <w:t xml:space="preserve">two separate points in time. Including more increments, referred to </w:t>
      </w:r>
      <w:r>
        <w:t xml:space="preserve">as </w:t>
      </w:r>
      <w:r w:rsidR="00582350">
        <w:t>waves</w:t>
      </w:r>
      <w:r>
        <w:t xml:space="preserve"> or </w:t>
      </w:r>
      <w:proofErr w:type="spellStart"/>
      <w:r>
        <w:t>interwaves</w:t>
      </w:r>
      <w:proofErr w:type="spellEnd"/>
      <w:r w:rsidR="00582350">
        <w:t>, increase</w:t>
      </w:r>
      <w:r w:rsidR="001A2A05">
        <w:t xml:space="preserve">s </w:t>
      </w:r>
      <w:r w:rsidR="00582350">
        <w:t>the strength and validity of the research (</w:t>
      </w:r>
      <w:proofErr w:type="spellStart"/>
      <w:r w:rsidR="00582350">
        <w:t>Segrin</w:t>
      </w:r>
      <w:proofErr w:type="spellEnd"/>
      <w:r w:rsidR="00582350">
        <w:t xml:space="preserve">, 2017). For example, </w:t>
      </w:r>
      <w:r w:rsidR="00FC0743">
        <w:t xml:space="preserve">Yanar </w:t>
      </w:r>
      <w:proofErr w:type="spellStart"/>
      <w:r w:rsidR="00FC0743">
        <w:t>Hashlamon</w:t>
      </w:r>
      <w:proofErr w:type="spellEnd"/>
      <w:r w:rsidR="00FC0743">
        <w:t xml:space="preserve"> (2023) conducted research with students in his business writing class interviewing students at the beginning of the term for three years. </w:t>
      </w:r>
      <w:r>
        <w:t>Thus, the</w:t>
      </w:r>
      <w:r w:rsidR="000440FA">
        <w:t>ir</w:t>
      </w:r>
      <w:r>
        <w:t xml:space="preserve"> study had three waves </w:t>
      </w:r>
      <w:r w:rsidR="001A2A05">
        <w:t>designated</w:t>
      </w:r>
      <w:r>
        <w:t xml:space="preserve"> at the start of the term. </w:t>
      </w:r>
    </w:p>
    <w:p w14:paraId="3B81E306" w14:textId="77777777" w:rsidR="00FC0743" w:rsidRDefault="00FC0743" w:rsidP="002736B3"/>
    <w:p w14:paraId="74272C19" w14:textId="17CDF49B" w:rsidR="00FC0743" w:rsidRDefault="00FC0743" w:rsidP="002736B3">
      <w:r>
        <w:t>Since my study was not originally designated as a longitudinal study, I did not have a set “</w:t>
      </w:r>
      <w:proofErr w:type="spellStart"/>
      <w:r>
        <w:t>interwave</w:t>
      </w:r>
      <w:proofErr w:type="spellEnd"/>
      <w:r>
        <w:t xml:space="preserve"> interval,” which is the time between waves of measurement (</w:t>
      </w:r>
      <w:proofErr w:type="spellStart"/>
      <w:r>
        <w:t>Segrin</w:t>
      </w:r>
      <w:proofErr w:type="spellEnd"/>
      <w:r>
        <w:t xml:space="preserve">, 2017). The time between intervals should be considered carefully when planning longitudinal studies. </w:t>
      </w:r>
      <w:r w:rsidR="001A2A05">
        <w:t>Some of the field-wide has an interweave that was more luck than design: 2013, 2018, and 2023.</w:t>
      </w:r>
      <w:r w:rsidR="001A2A05">
        <w:rPr>
          <w:rStyle w:val="FootnoteReference"/>
        </w:rPr>
        <w:footnoteReference w:id="16"/>
      </w:r>
    </w:p>
    <w:p w14:paraId="78664024" w14:textId="77777777" w:rsidR="004F48CD" w:rsidRDefault="004F48CD" w:rsidP="002736B3"/>
    <w:p w14:paraId="6357C240" w14:textId="485B0D25" w:rsidR="00B4687C" w:rsidRDefault="00D55771" w:rsidP="002736B3">
      <w:r>
        <w:t>The trends presented in the data chapter</w:t>
      </w:r>
      <w:r w:rsidR="001A2A05">
        <w:t>s</w:t>
      </w:r>
      <w:r>
        <w:t xml:space="preserve"> will work from the time of publication or from two </w:t>
      </w:r>
      <w:proofErr w:type="spellStart"/>
      <w:r>
        <w:t>interwave</w:t>
      </w:r>
      <w:proofErr w:type="spellEnd"/>
      <w:r>
        <w:t xml:space="preserve"> intervals:</w:t>
      </w:r>
    </w:p>
    <w:p w14:paraId="5530B103" w14:textId="3DC15FAF" w:rsidR="00D55771" w:rsidRDefault="00D55771" w:rsidP="00D55771">
      <w:pPr>
        <w:pStyle w:val="ListParagraph"/>
        <w:numPr>
          <w:ilvl w:val="0"/>
          <w:numId w:val="22"/>
        </w:numPr>
      </w:pPr>
      <w:r>
        <w:t>Undergraduate majors: 2014 to 2023</w:t>
      </w:r>
    </w:p>
    <w:p w14:paraId="0387F280" w14:textId="572138E7" w:rsidR="00D55771" w:rsidRDefault="00D55771" w:rsidP="00D55771">
      <w:pPr>
        <w:pStyle w:val="ListParagraph"/>
        <w:numPr>
          <w:ilvl w:val="0"/>
          <w:numId w:val="22"/>
        </w:numPr>
      </w:pPr>
      <w:r>
        <w:t>Emphasis degrees: 2014 to 2023</w:t>
      </w:r>
    </w:p>
    <w:p w14:paraId="668A2D01" w14:textId="6D6DAAF2" w:rsidR="00D55771" w:rsidRDefault="00D55771" w:rsidP="00D55771">
      <w:pPr>
        <w:pStyle w:val="ListParagraph"/>
        <w:numPr>
          <w:ilvl w:val="0"/>
          <w:numId w:val="22"/>
        </w:numPr>
      </w:pPr>
      <w:r>
        <w:t>Certificates (undergraduate and graduate): 2012 to 2023</w:t>
      </w:r>
    </w:p>
    <w:p w14:paraId="029A6ADC" w14:textId="441BBB97" w:rsidR="00D55771" w:rsidRDefault="00D55771" w:rsidP="00D55771">
      <w:pPr>
        <w:pStyle w:val="ListParagraph"/>
        <w:numPr>
          <w:ilvl w:val="0"/>
          <w:numId w:val="22"/>
        </w:numPr>
      </w:pPr>
      <w:r>
        <w:t>Masters’ degree: 2009 to 2023</w:t>
      </w:r>
    </w:p>
    <w:p w14:paraId="52FDCE0C" w14:textId="6F99006B" w:rsidR="00DE6794" w:rsidRDefault="00D55771" w:rsidP="00DE6794">
      <w:pPr>
        <w:pStyle w:val="ListParagraph"/>
        <w:numPr>
          <w:ilvl w:val="0"/>
          <w:numId w:val="22"/>
        </w:numPr>
      </w:pPr>
      <w:r>
        <w:t xml:space="preserve">Minors: </w:t>
      </w:r>
      <w:r w:rsidR="00DE6794">
        <w:t>2013</w:t>
      </w:r>
      <w:r>
        <w:t xml:space="preserve"> to 2023</w:t>
      </w:r>
    </w:p>
    <w:p w14:paraId="350FE33A" w14:textId="77777777" w:rsidR="001A2A05" w:rsidRDefault="001A2A05" w:rsidP="001A2A05"/>
    <w:p w14:paraId="4E7DC835" w14:textId="09AAB305" w:rsidR="001A2A05" w:rsidRDefault="001A2A05" w:rsidP="001A2A05">
      <w:r>
        <w:t xml:space="preserve">While I pinpoint trend data from publication date, I did collect and update data through the years. However, </w:t>
      </w:r>
      <w:proofErr w:type="gramStart"/>
      <w:r>
        <w:t>in an effort to</w:t>
      </w:r>
      <w:proofErr w:type="gramEnd"/>
      <w:r>
        <w:t xml:space="preserve"> get this book into the world, I did not code or analyze all the details as I tried to keep the data sorted and updated at different intervals. If I, or anyone, were to continue the study, I would recommend that another wave of data collection happen in five </w:t>
      </w:r>
      <w:r w:rsidR="000440FA">
        <w:t>years</w:t>
      </w:r>
      <w:r>
        <w:t xml:space="preserve"> (i.e., 2028) and continue it forward in five-year intervals. This time frame would allow curricula changes to make their way through institutional structures, as well as provide enough time to </w:t>
      </w:r>
      <w:r w:rsidR="000440FA">
        <w:t xml:space="preserve">be able to </w:t>
      </w:r>
      <w:r>
        <w:t xml:space="preserve">offer insights into trends. </w:t>
      </w:r>
    </w:p>
    <w:p w14:paraId="15DB19BC" w14:textId="1019FAFB" w:rsidR="00094BDE" w:rsidRDefault="007D729A" w:rsidP="00094BDE">
      <w:pPr>
        <w:pStyle w:val="Heading2"/>
      </w:pPr>
      <w:r>
        <w:t>Textual Analysis</w:t>
      </w:r>
    </w:p>
    <w:p w14:paraId="4DE54C50" w14:textId="046DB6F6" w:rsidR="009E378B" w:rsidRDefault="00C74A0C" w:rsidP="00B666FF">
      <w:r>
        <w:rPr>
          <w:shd w:val="clear" w:color="auto" w:fill="FFFFFF"/>
        </w:rPr>
        <w:t xml:space="preserve">Textual analysis </w:t>
      </w:r>
      <w:r w:rsidR="002862DA">
        <w:rPr>
          <w:shd w:val="clear" w:color="auto" w:fill="FFFFFF"/>
        </w:rPr>
        <w:t>“</w:t>
      </w:r>
      <w:r>
        <w:rPr>
          <w:shd w:val="clear" w:color="auto" w:fill="FFFFFF"/>
        </w:rPr>
        <w:t>closely examines either the content and meaning of texts or their structure and discourse” and it “</w:t>
      </w:r>
      <w:r w:rsidR="00E6013A">
        <w:rPr>
          <w:shd w:val="clear" w:color="auto" w:fill="FFFFFF"/>
        </w:rPr>
        <w:t>benefits from that naturally occurring status of its data source</w:t>
      </w:r>
      <w:r w:rsidR="0099415B">
        <w:rPr>
          <w:shd w:val="clear" w:color="auto" w:fill="FFFFFF"/>
        </w:rPr>
        <w:t>”</w:t>
      </w:r>
      <w:r>
        <w:rPr>
          <w:shd w:val="clear" w:color="auto" w:fill="FFFFFF"/>
        </w:rPr>
        <w:t xml:space="preserve"> </w:t>
      </w:r>
      <w:r w:rsidR="000B75B5">
        <w:rPr>
          <w:shd w:val="clear" w:color="auto" w:fill="FFFFFF"/>
        </w:rPr>
        <w:t>(</w:t>
      </w:r>
      <w:r w:rsidR="00F377CD">
        <w:rPr>
          <w:shd w:val="clear" w:color="auto" w:fill="FFFFFF"/>
        </w:rPr>
        <w:t xml:space="preserve">Given, 2008, p. 866). </w:t>
      </w:r>
      <w:r w:rsidR="00EC6EEC">
        <w:t xml:space="preserve">Beyond this basic definition of textual analysis, I follow </w:t>
      </w:r>
      <w:proofErr w:type="spellStart"/>
      <w:r w:rsidR="00EC6EEC">
        <w:t>MacNealy</w:t>
      </w:r>
      <w:proofErr w:type="spellEnd"/>
      <w:r w:rsidR="00EC6EEC">
        <w:t xml:space="preserve"> when she explained that she took “text” to mean “oral, written, and graphic materials that been produced in natural situations for a particular audience and purpose” (p</w:t>
      </w:r>
      <w:r w:rsidR="001B649E">
        <w:t xml:space="preserve">. </w:t>
      </w:r>
      <w:r w:rsidR="00EC6EEC">
        <w:t>124) and text to refer “to chunks of related words ranging from one-word commands to three or four-word fragmentary sentences to much longer pieces of txt such as proposals and even textbooks”(p</w:t>
      </w:r>
      <w:r w:rsidR="001B649E">
        <w:t xml:space="preserve">. </w:t>
      </w:r>
      <w:r w:rsidR="00EC6EEC">
        <w:t>124). For this project, the texts used are curricular information from course catalogs</w:t>
      </w:r>
      <w:r w:rsidR="00E65DEC">
        <w:t xml:space="preserve">, which are discussed in more detail </w:t>
      </w:r>
      <w:r w:rsidR="002B0D5F">
        <w:t>in the “</w:t>
      </w:r>
      <w:r w:rsidR="00E65DEC">
        <w:t>data collected</w:t>
      </w:r>
      <w:r w:rsidR="002B0D5F">
        <w:t>” section that follows</w:t>
      </w:r>
      <w:r w:rsidR="00E65DEC">
        <w:t xml:space="preserve">. </w:t>
      </w:r>
    </w:p>
    <w:p w14:paraId="032FFC7B" w14:textId="62F5BB58" w:rsidR="001137E0" w:rsidRDefault="001137E0" w:rsidP="00B666FF"/>
    <w:p w14:paraId="6A6BC562" w14:textId="4D6D7213" w:rsidR="0099415B" w:rsidRPr="001137E0" w:rsidRDefault="001137E0" w:rsidP="00094BDE">
      <w:r>
        <w:lastRenderedPageBreak/>
        <w:t>What is key to understand is that there is a clear systematic approach for collecting data and then moving to work</w:t>
      </w:r>
      <w:r w:rsidR="00F3326D">
        <w:t xml:space="preserve"> with</w:t>
      </w:r>
      <w:r>
        <w:t xml:space="preserve"> it (also known as analysis). Making clear </w:t>
      </w:r>
      <w:r w:rsidR="00F377CD">
        <w:t>the</w:t>
      </w:r>
      <w:r>
        <w:t xml:space="preserve"> design of this systematic approach build</w:t>
      </w:r>
      <w:r w:rsidR="00F3326D">
        <w:t xml:space="preserve">s </w:t>
      </w:r>
      <w:r>
        <w:t>trustworthiness and validity into the overall study design and into the results presented. To fully explain textual analysis as method, I discuss sampling, inter-rater reliability, and</w:t>
      </w:r>
      <w:r w:rsidRPr="00132919">
        <w:t xml:space="preserve"> </w:t>
      </w:r>
      <w:r>
        <w:t xml:space="preserve">coding, as well as limitations as a way to illustrate the systematic approach to the textual data. </w:t>
      </w:r>
    </w:p>
    <w:p w14:paraId="0AD323F9" w14:textId="77777777" w:rsidR="003E4948" w:rsidRDefault="003E4948" w:rsidP="00094BDE"/>
    <w:p w14:paraId="0C601B30" w14:textId="463486A1" w:rsidR="00094BDE" w:rsidRDefault="009E378B" w:rsidP="009E378B">
      <w:pPr>
        <w:pStyle w:val="Heading3"/>
      </w:pPr>
      <w:r>
        <w:t>Sampling</w:t>
      </w:r>
      <w:r w:rsidR="0099415B">
        <w:t xml:space="preserve"> Frame</w:t>
      </w:r>
      <w:r w:rsidR="00B666FF">
        <w:t xml:space="preserve"> for </w:t>
      </w:r>
      <w:r w:rsidR="004A4093">
        <w:t>D</w:t>
      </w:r>
      <w:r w:rsidR="00B666FF">
        <w:t>ata</w:t>
      </w:r>
      <w:r w:rsidR="004A4093">
        <w:t xml:space="preserve"> Collection</w:t>
      </w:r>
    </w:p>
    <w:p w14:paraId="41FF04B7" w14:textId="4CBAD674" w:rsidR="00B72D28" w:rsidRDefault="00B72D28" w:rsidP="00094BDE"/>
    <w:p w14:paraId="7DEE5B1E" w14:textId="404CF8F7" w:rsidR="003C160B" w:rsidRDefault="0099415B" w:rsidP="00132919">
      <w:r>
        <w:t xml:space="preserve">Often sampling is discussed </w:t>
      </w:r>
      <w:r w:rsidR="00B666FF">
        <w:t>in regard to</w:t>
      </w:r>
      <w:r>
        <w:t xml:space="preserve"> quantitative studies, but not nearly as much when it comes to qualitative studies. Though, it is no less important. T</w:t>
      </w:r>
      <w:r w:rsidR="008C13F6">
        <w:t xml:space="preserve">he </w:t>
      </w:r>
      <w:r w:rsidR="00E004F8">
        <w:t xml:space="preserve">research </w:t>
      </w:r>
      <w:r w:rsidR="008C13F6">
        <w:t xml:space="preserve">questions being </w:t>
      </w:r>
      <w:r w:rsidR="00E004F8">
        <w:t xml:space="preserve">asked </w:t>
      </w:r>
      <w:r>
        <w:t xml:space="preserve">aligned with the method of textual analysis contributed to </w:t>
      </w:r>
      <w:r w:rsidR="008C13F6">
        <w:t xml:space="preserve">setting a sampling frame, which is sets the parameters for thing(s) being studied and works to ensure </w:t>
      </w:r>
      <w:r w:rsidR="00B666FF">
        <w:t>trustworthiness</w:t>
      </w:r>
      <w:r w:rsidR="008C13F6">
        <w:t>, rigor, and validity</w:t>
      </w:r>
      <w:r>
        <w:t xml:space="preserve"> (c.f., </w:t>
      </w:r>
      <w:proofErr w:type="spellStart"/>
      <w:r>
        <w:t>MacNealy</w:t>
      </w:r>
      <w:proofErr w:type="spellEnd"/>
      <w:r>
        <w:t>,</w:t>
      </w:r>
      <w:r w:rsidR="00E60E14">
        <w:t xml:space="preserve"> </w:t>
      </w:r>
      <w:r>
        <w:t>1999)</w:t>
      </w:r>
      <w:r w:rsidR="008C13F6">
        <w:t>.</w:t>
      </w:r>
      <w:r w:rsidR="00132919">
        <w:t xml:space="preserve"> </w:t>
      </w:r>
      <w:r>
        <w:t xml:space="preserve">In textual research, sometimes this is done automatically because of the question being asked. </w:t>
      </w:r>
      <w:r w:rsidR="003C160B">
        <w:t xml:space="preserve">For example, a series of training manuals at a single organization might help answer questions about the change in practices and values of the organization over time. </w:t>
      </w:r>
      <w:r w:rsidR="00E004F8">
        <w:t>In this example, the sampling frame is simply the training manuals. Textual research as method often struggles with determining a size of a “thing” that would lend itself to providing enough evidence for the argument being made. This is tr</w:t>
      </w:r>
      <w:r w:rsidR="00DA532F">
        <w:t>u</w:t>
      </w:r>
      <w:r w:rsidR="00E004F8">
        <w:t xml:space="preserve">e in TPC where scholars and teachers have not discussed well or at all how to provide boundaries to the thing(s) under examination. In most cases, it seems the sampling in much textual work in TPC is based on criterion sampling (all the texts or artifacts have these characteristics) or they are chosen as a representative case or exemplar in that the text (or handful of texts) really do represent the </w:t>
      </w:r>
      <w:r w:rsidR="00E004F8" w:rsidRPr="00BE5143">
        <w:t>whole.</w:t>
      </w:r>
    </w:p>
    <w:p w14:paraId="49189BEB" w14:textId="77777777" w:rsidR="003C160B" w:rsidRDefault="003C160B" w:rsidP="00132919"/>
    <w:p w14:paraId="52E37EAB" w14:textId="1DB46BD4" w:rsidR="004A2B06" w:rsidRDefault="003C160B" w:rsidP="00132919">
      <w:r>
        <w:t xml:space="preserve">For this project’s emphasis on </w:t>
      </w:r>
      <w:r w:rsidR="0099415B">
        <w:t>field-wide, programmatic data, I had to determine what types of “texts” would provide me the answers I sought.</w:t>
      </w:r>
      <w:r w:rsidR="001D7795">
        <w:t xml:space="preserve"> </w:t>
      </w:r>
      <w:r w:rsidR="00132919">
        <w:t>Earlier attempts at field wide programmatic data relied on sampling of a few programs with no clear indication on how programs were selected for inclusion</w:t>
      </w:r>
      <w:r>
        <w:t xml:space="preserve"> (</w:t>
      </w:r>
      <w:r w:rsidR="001B649E">
        <w:t xml:space="preserve">c.f., </w:t>
      </w:r>
      <w:r>
        <w:t xml:space="preserve">Keene, 1997). When I was working on the first manuscript about graduate degrees, I knew I wanted </w:t>
      </w:r>
      <w:r w:rsidR="00132919">
        <w:t xml:space="preserve">to locate as many </w:t>
      </w:r>
      <w:r>
        <w:t>graduate</w:t>
      </w:r>
      <w:r w:rsidR="00132919">
        <w:t xml:space="preserve"> degrees as possible and examine their curricula</w:t>
      </w:r>
      <w:r>
        <w:t>. With that idea in mind,</w:t>
      </w:r>
      <w:r w:rsidR="00132919">
        <w:t xml:space="preserve"> I had to figure out a way </w:t>
      </w:r>
      <w:r>
        <w:t xml:space="preserve">to </w:t>
      </w:r>
      <w:r w:rsidR="004A2B06">
        <w:t>compile</w:t>
      </w:r>
      <w:r>
        <w:t xml:space="preserve"> a list of institutions that offer a </w:t>
      </w:r>
      <w:r w:rsidR="001B649E">
        <w:t>master’s</w:t>
      </w:r>
      <w:r>
        <w:t xml:space="preserve"> degree in TPC. </w:t>
      </w:r>
    </w:p>
    <w:p w14:paraId="3BFBAD0D" w14:textId="77777777" w:rsidR="004A2B06" w:rsidRDefault="004A2B06" w:rsidP="00132919"/>
    <w:p w14:paraId="16998798" w14:textId="53F39B8E" w:rsidR="004A2B06" w:rsidRDefault="003C160B" w:rsidP="004A2B06">
      <w:r>
        <w:t>At th</w:t>
      </w:r>
      <w:r w:rsidR="00D667C4">
        <w:t xml:space="preserve">e beginning </w:t>
      </w:r>
      <w:r>
        <w:t>of the project</w:t>
      </w:r>
      <w:r w:rsidR="00D667C4">
        <w:t xml:space="preserve"> when I was trying to make big sampling decisions</w:t>
      </w:r>
      <w:r>
        <w:t>, I had little understanding of the larger landscape of higher education and no idea about Carnegie Classifications, the Department of Education</w:t>
      </w:r>
      <w:r w:rsidR="004A2B06">
        <w:t>’s data warehouse, or other data sources that could have helped. Way back when this project started, I did not realize (or maybe it wasn’t online yet) that the Department of Education has a data warehouse or that the Carnegie Classification System had a list (although I know that wasn’t fully searchable until several years into my project).</w:t>
      </w:r>
    </w:p>
    <w:p w14:paraId="70731363" w14:textId="77777777" w:rsidR="00D667C4" w:rsidRDefault="00D667C4" w:rsidP="004A2B06"/>
    <w:p w14:paraId="013485F9" w14:textId="46F68124" w:rsidR="004A2B06" w:rsidRDefault="00437367" w:rsidP="004A2B06">
      <w:r>
        <w:t>Historically and p</w:t>
      </w:r>
      <w:r w:rsidR="00FE3920">
        <w:t xml:space="preserve">resently, no central repository of information about </w:t>
      </w:r>
      <w:r w:rsidR="004A2B06">
        <w:t xml:space="preserve">TPC </w:t>
      </w:r>
      <w:r w:rsidR="00FE3920">
        <w:t>programs</w:t>
      </w:r>
      <w:r>
        <w:t xml:space="preserve"> exists</w:t>
      </w:r>
      <w:r w:rsidR="00FE3920">
        <w:t>.</w:t>
      </w:r>
      <w:r w:rsidR="000B75B5">
        <w:t xml:space="preserve"> Outside of visiting the website of every higher education institution as found in the department of education database, t</w:t>
      </w:r>
      <w:r w:rsidR="00FE3920">
        <w:t xml:space="preserve">he closest </w:t>
      </w:r>
      <w:r w:rsidR="000B75B5">
        <w:t>TP</w:t>
      </w:r>
      <w:r w:rsidR="00C9133E">
        <w:t>C</w:t>
      </w:r>
      <w:r w:rsidR="000B75B5">
        <w:t xml:space="preserve"> </w:t>
      </w:r>
      <w:r w:rsidR="00FE3920">
        <w:t>ha</w:t>
      </w:r>
      <w:r w:rsidR="000B75B5">
        <w:t>d</w:t>
      </w:r>
      <w:r w:rsidR="00FE3920">
        <w:t xml:space="preserve"> </w:t>
      </w:r>
      <w:r w:rsidR="004A2B06">
        <w:t xml:space="preserve">at the beginning of this project were </w:t>
      </w:r>
      <w:r w:rsidR="00FE3920">
        <w:t>three self-enrolled listings (STC, CPTSC, and ATTW)</w:t>
      </w:r>
      <w:r w:rsidR="004A2B06">
        <w:t>. Each of these gave</w:t>
      </w:r>
      <w:r w:rsidR="00FE3920">
        <w:t xml:space="preserve"> </w:t>
      </w:r>
      <w:r w:rsidR="004A2B06">
        <w:t xml:space="preserve">TPC </w:t>
      </w:r>
      <w:r w:rsidR="004A2B06">
        <w:lastRenderedPageBreak/>
        <w:t xml:space="preserve">PAs </w:t>
      </w:r>
      <w:r w:rsidR="00FE3920">
        <w:t>program directors to enter basic information about degrees and/or certificates offered.</w:t>
      </w:r>
      <w:r w:rsidR="000B75B5">
        <w:rPr>
          <w:rStyle w:val="FootnoteReference"/>
        </w:rPr>
        <w:footnoteReference w:id="17"/>
      </w:r>
      <w:r w:rsidR="00FE3920">
        <w:t xml:space="preserve"> </w:t>
      </w:r>
      <w:r w:rsidR="003C424A">
        <w:t xml:space="preserve"> All of t</w:t>
      </w:r>
      <w:r w:rsidR="00FE3920">
        <w:t>hese three lists</w:t>
      </w:r>
      <w:r w:rsidR="000B75B5">
        <w:t>, or others like them,</w:t>
      </w:r>
      <w:r w:rsidR="00FE3920">
        <w:t xml:space="preserve"> carry with them their own ideologies.</w:t>
      </w:r>
      <w:r w:rsidR="000B75B5">
        <w:rPr>
          <w:rStyle w:val="FootnoteReference"/>
        </w:rPr>
        <w:footnoteReference w:id="18"/>
      </w:r>
      <w:r w:rsidR="000B75B5">
        <w:t xml:space="preserve"> </w:t>
      </w:r>
      <w:r w:rsidR="000C54A0">
        <w:t>S</w:t>
      </w:r>
      <w:r w:rsidR="00FE3920">
        <w:t xml:space="preserve">ince all three databases </w:t>
      </w:r>
      <w:r w:rsidR="000C54A0">
        <w:t>were</w:t>
      </w:r>
      <w:r w:rsidR="00FE3920">
        <w:t xml:space="preserve"> self-reported, many programs </w:t>
      </w:r>
      <w:r w:rsidR="000C54A0">
        <w:t>were</w:t>
      </w:r>
      <w:r w:rsidR="00FE3920">
        <w:t xml:space="preserve"> not represented. For example, </w:t>
      </w:r>
      <w:r w:rsidR="004A2B06" w:rsidRPr="00C9133E">
        <w:rPr>
          <w:i/>
          <w:iCs/>
        </w:rPr>
        <w:t>ca.</w:t>
      </w:r>
      <w:r w:rsidR="004A2B06">
        <w:t xml:space="preserve"> 2012,</w:t>
      </w:r>
      <w:r w:rsidR="00FE3920">
        <w:t xml:space="preserve"> the STC database only list</w:t>
      </w:r>
      <w:r w:rsidR="004A2B06">
        <w:t>ed</w:t>
      </w:r>
      <w:r w:rsidR="00FE3920">
        <w:t xml:space="preserve"> 67 institutions that offer an undergraduate degree (BA or BS), while my research </w:t>
      </w:r>
      <w:r w:rsidR="004A2B06">
        <w:t xml:space="preserve">at the same time </w:t>
      </w:r>
      <w:r w:rsidR="00FE3920">
        <w:t>found over 160 programs.</w:t>
      </w:r>
      <w:r w:rsidR="00E004F8">
        <w:t xml:space="preserve"> </w:t>
      </w:r>
      <w:r w:rsidR="000C54A0">
        <w:t>The lists were also limited because to</w:t>
      </w:r>
      <w:r w:rsidR="00FE3920">
        <w:t xml:space="preserve"> get any specific </w:t>
      </w:r>
      <w:r w:rsidR="008967C8">
        <w:t xml:space="preserve">curricular </w:t>
      </w:r>
      <w:r w:rsidR="00FE3920">
        <w:t>information</w:t>
      </w:r>
      <w:r w:rsidR="004A2B06">
        <w:t xml:space="preserve"> </w:t>
      </w:r>
      <w:r w:rsidR="00FE3920">
        <w:t>require</w:t>
      </w:r>
      <w:r w:rsidR="004A2B06">
        <w:t>d</w:t>
      </w:r>
      <w:r w:rsidR="00FE3920">
        <w:t xml:space="preserve"> one to take an additional step and either visit the institution’s website and/or to contact the school,</w:t>
      </w:r>
      <w:r w:rsidR="00FE3920" w:rsidRPr="00F72F35">
        <w:t xml:space="preserve"> </w:t>
      </w:r>
      <w:r w:rsidR="00FE3920">
        <w:t xml:space="preserve">which from my own experience can be a frustrating and </w:t>
      </w:r>
      <w:r w:rsidR="004A2B06">
        <w:t>labor-intensive</w:t>
      </w:r>
      <w:r w:rsidR="00FE3920">
        <w:t xml:space="preserve"> enterprise.</w:t>
      </w:r>
    </w:p>
    <w:p w14:paraId="5E3DAF59" w14:textId="77777777" w:rsidR="004A2B06" w:rsidRDefault="004A2B06" w:rsidP="004A2B06"/>
    <w:p w14:paraId="1FF43447" w14:textId="622E7AB3" w:rsidR="00437367" w:rsidRDefault="00FE3920" w:rsidP="00E004F8">
      <w:r>
        <w:t xml:space="preserve">Finally, and most importantly, </w:t>
      </w:r>
      <w:r w:rsidR="004A2B06">
        <w:t xml:space="preserve">the limitations of program lists make </w:t>
      </w:r>
      <w:r>
        <w:t>i</w:t>
      </w:r>
      <w:r w:rsidR="004A2B06">
        <w:t>t</w:t>
      </w:r>
      <w:r>
        <w:t xml:space="preserve"> impossible to do any sort of comparison or analyses about field-wide programmatic issues, without a large investment of time and energy. Take for example this scenario.</w:t>
      </w:r>
      <w:r w:rsidR="00437367">
        <w:t xml:space="preserve"> </w:t>
      </w:r>
      <w:r>
        <w:t xml:space="preserve">Small Private University in the </w:t>
      </w:r>
      <w:r w:rsidR="004A2B06">
        <w:t>Northeast</w:t>
      </w:r>
      <w:r>
        <w:t xml:space="preserve"> is considering starting a TPC program and wonders what basic courses should be included in an English degree with a TPC emphasis.</w:t>
      </w:r>
      <w:r w:rsidR="00437367">
        <w:t xml:space="preserve"> </w:t>
      </w:r>
      <w:r>
        <w:t xml:space="preserve">To obtain information, a faculty member at Small Private University in the </w:t>
      </w:r>
      <w:r w:rsidR="004A2B06">
        <w:t>Northeast</w:t>
      </w:r>
      <w:r>
        <w:t xml:space="preserve"> would probably go to the websites of several peer institutions or to the website of a </w:t>
      </w:r>
      <w:r w:rsidR="004A2B06">
        <w:t xml:space="preserve">what they feel are a </w:t>
      </w:r>
      <w:r>
        <w:t xml:space="preserve">well-known program to gather information or the faculty member would email a couple </w:t>
      </w:r>
      <w:r w:rsidR="00437367">
        <w:t>of</w:t>
      </w:r>
      <w:r>
        <w:t xml:space="preserve"> their friends (who may or may no</w:t>
      </w:r>
      <w:r w:rsidR="00437367">
        <w:t>t</w:t>
      </w:r>
      <w:r>
        <w:t xml:space="preserve"> work at the same t</w:t>
      </w:r>
      <w:r w:rsidR="004A2B06">
        <w:t>ype</w:t>
      </w:r>
      <w:r>
        <w:t xml:space="preserve"> of institution).</w:t>
      </w:r>
      <w:r w:rsidR="004A2B06">
        <w:t xml:space="preserve"> </w:t>
      </w:r>
      <w:r>
        <w:t xml:space="preserve">Time constraints prohibit a more thorough search. In this scenario, Small Private University in the </w:t>
      </w:r>
      <w:r w:rsidR="004A2B06">
        <w:t>Northeast</w:t>
      </w:r>
      <w:r>
        <w:t xml:space="preserve"> may not be making the best decisions because of the limited amount of data collected.</w:t>
      </w:r>
      <w:r w:rsidR="000C54A0">
        <w:t xml:space="preserve"> </w:t>
      </w:r>
      <w:r>
        <w:t>This scenario is not an indictment or criticism</w:t>
      </w:r>
      <w:r w:rsidR="00437367">
        <w:t xml:space="preserve">. Rather, it </w:t>
      </w:r>
      <w:r>
        <w:t xml:space="preserve">is used to show the limitations and problems inherent in TPC’s </w:t>
      </w:r>
      <w:r w:rsidR="00437367">
        <w:t xml:space="preserve">present limitation of not having field-wide data. </w:t>
      </w:r>
    </w:p>
    <w:p w14:paraId="3EE138B4" w14:textId="77777777" w:rsidR="00A15C81" w:rsidRDefault="00A15C81" w:rsidP="00FE3920"/>
    <w:p w14:paraId="7EE6B3D9" w14:textId="2B719155" w:rsidR="00FE3920" w:rsidRDefault="000C54A0" w:rsidP="00FE3920">
      <w:r>
        <w:t>Knowing my goal for the sampling frame,</w:t>
      </w:r>
      <w:r w:rsidR="00FE3920">
        <w:t xml:space="preserve"> I realized I needed </w:t>
      </w:r>
      <w:r w:rsidR="004A2B06">
        <w:t>a comprehensive</w:t>
      </w:r>
      <w:r w:rsidR="004A2B06">
        <w:rPr>
          <w:rStyle w:val="FootnoteReference"/>
        </w:rPr>
        <w:footnoteReference w:id="19"/>
      </w:r>
      <w:r w:rsidR="004A2B06">
        <w:t xml:space="preserve"> sample of US degree programs. Even with the problems noted of the three lists, </w:t>
      </w:r>
      <w:r>
        <w:t xml:space="preserve">I started by compiling the three lists from ATTW, CPTSC, and STC, and then I </w:t>
      </w:r>
      <w:r w:rsidR="00437367">
        <w:t xml:space="preserve"> </w:t>
      </w:r>
    </w:p>
    <w:p w14:paraId="3CBC1CBE" w14:textId="77777777" w:rsidR="00FE3920" w:rsidRDefault="00FE3920" w:rsidP="00E91C98">
      <w:pPr>
        <w:pStyle w:val="ListParagraph"/>
        <w:numPr>
          <w:ilvl w:val="0"/>
          <w:numId w:val="1"/>
        </w:numPr>
      </w:pPr>
      <w:r w:rsidRPr="002464CE">
        <w:t>Search</w:t>
      </w:r>
      <w:r>
        <w:t>ed</w:t>
      </w:r>
      <w:r w:rsidRPr="002464CE">
        <w:t xml:space="preserve"> online using phrases </w:t>
      </w:r>
      <w:r>
        <w:t xml:space="preserve">such as </w:t>
      </w:r>
      <w:r w:rsidRPr="002464CE">
        <w:t>“</w:t>
      </w:r>
      <w:r>
        <w:t xml:space="preserve">degrees </w:t>
      </w:r>
      <w:r w:rsidRPr="002464CE">
        <w:t xml:space="preserve">in technical writing,” “Master’s degree in professional communication” (and various combinations of </w:t>
      </w:r>
      <w:r>
        <w:t xml:space="preserve">degree types, program </w:t>
      </w:r>
      <w:r w:rsidRPr="002464CE">
        <w:t xml:space="preserve">names and order) and then scrolling through the first ten pages, or so, of listings to catch additional programs </w:t>
      </w:r>
    </w:p>
    <w:p w14:paraId="17A78742" w14:textId="77777777" w:rsidR="00FE3920" w:rsidRDefault="00FE3920" w:rsidP="00E91C98">
      <w:pPr>
        <w:pStyle w:val="ListParagraph"/>
        <w:numPr>
          <w:ilvl w:val="0"/>
          <w:numId w:val="1"/>
        </w:numPr>
      </w:pPr>
      <w:r w:rsidRPr="002464CE">
        <w:t>Cross-check</w:t>
      </w:r>
      <w:r>
        <w:t>ed</w:t>
      </w:r>
      <w:r w:rsidRPr="002464CE">
        <w:t xml:space="preserve"> online portals of </w:t>
      </w:r>
      <w:r>
        <w:t>degree pro</w:t>
      </w:r>
      <w:r w:rsidRPr="002464CE">
        <w:t>grams, such as http://www. gradschools.com to ensure the completeness of the listing</w:t>
      </w:r>
    </w:p>
    <w:p w14:paraId="10FCA77A" w14:textId="0EA82E2F" w:rsidR="00FE3920" w:rsidRDefault="00FE3920" w:rsidP="00E91C98">
      <w:pPr>
        <w:pStyle w:val="ListParagraph"/>
        <w:numPr>
          <w:ilvl w:val="0"/>
          <w:numId w:val="1"/>
        </w:numPr>
      </w:pPr>
      <w:r>
        <w:t>Cross-checked information from IPEDS listing of degrees awarded</w:t>
      </w:r>
      <w:r w:rsidR="00E004F8">
        <w:t xml:space="preserve"> </w:t>
      </w:r>
    </w:p>
    <w:p w14:paraId="47B1A526" w14:textId="19C3D53F" w:rsidR="00FE3920" w:rsidRDefault="00FE3920" w:rsidP="00E91C98">
      <w:pPr>
        <w:pStyle w:val="ListParagraph"/>
        <w:numPr>
          <w:ilvl w:val="0"/>
          <w:numId w:val="1"/>
        </w:numPr>
      </w:pPr>
      <w:r>
        <w:t xml:space="preserve">Spot checked the </w:t>
      </w:r>
      <w:r w:rsidR="00437367">
        <w:t xml:space="preserve">directive </w:t>
      </w:r>
      <w:r>
        <w:t xml:space="preserve">list against the Carnegie foundation lists of universities  </w:t>
      </w:r>
    </w:p>
    <w:p w14:paraId="051974A1" w14:textId="77777777" w:rsidR="00FE3920" w:rsidRPr="00B91FBD" w:rsidRDefault="00FE3920" w:rsidP="00E91C98">
      <w:pPr>
        <w:pStyle w:val="ListParagraph"/>
        <w:numPr>
          <w:ilvl w:val="0"/>
          <w:numId w:val="1"/>
        </w:numPr>
        <w:rPr>
          <w:b/>
          <w:sz w:val="20"/>
        </w:rPr>
      </w:pPr>
      <w:r>
        <w:t>Followed list-serv discussions that pertained to programmatic and curricular questions</w:t>
      </w:r>
    </w:p>
    <w:p w14:paraId="3C9C0574" w14:textId="77777777" w:rsidR="00FE3920" w:rsidRPr="00CD56E0" w:rsidRDefault="00FE3920" w:rsidP="00E91C98">
      <w:pPr>
        <w:pStyle w:val="ListParagraph"/>
        <w:numPr>
          <w:ilvl w:val="0"/>
          <w:numId w:val="1"/>
        </w:numPr>
        <w:rPr>
          <w:b/>
          <w:sz w:val="20"/>
        </w:rPr>
      </w:pPr>
      <w:r>
        <w:lastRenderedPageBreak/>
        <w:t>Combed through conference proceedings for mentions of new programs and changes to existing programs</w:t>
      </w:r>
    </w:p>
    <w:p w14:paraId="788F2F56" w14:textId="63F7E336" w:rsidR="003C06AE" w:rsidRDefault="003C06AE" w:rsidP="005976FB">
      <w:r>
        <w:t xml:space="preserve">Another change that has occurred </w:t>
      </w:r>
      <w:proofErr w:type="gramStart"/>
      <w:r>
        <w:t>during the course of</w:t>
      </w:r>
      <w:proofErr w:type="gramEnd"/>
      <w:r>
        <w:t xml:space="preserve"> this project is the increase in amount of federal data that is now available online. The National Center for Education Statistics has been around since 1897, but the center’s data has only been readily available online </w:t>
      </w:r>
      <w:r w:rsidR="005976FB">
        <w:t>since around 2012 when one of the first public access laws was passed.</w:t>
      </w:r>
      <w:r>
        <w:t xml:space="preserve"> </w:t>
      </w:r>
      <w:r w:rsidR="005976FB">
        <w:t xml:space="preserve">The </w:t>
      </w:r>
      <w:r w:rsidR="005976FB" w:rsidRPr="005976FB">
        <w:t>Integrated Postsecondary Education Data System (IPEDS) College navigator (</w:t>
      </w:r>
      <w:hyperlink r:id="rId8" w:history="1">
        <w:r w:rsidR="005976FB" w:rsidRPr="00DC7F24">
          <w:rPr>
            <w:rStyle w:val="Hyperlink"/>
          </w:rPr>
          <w:t>https://nces.ed.gov/collegenavigator/</w:t>
        </w:r>
      </w:hyperlink>
      <w:r w:rsidR="005976FB">
        <w:t xml:space="preserve">) allows consumers to pull data of institutions based on </w:t>
      </w:r>
      <w:r w:rsidR="005976FB" w:rsidRPr="005976FB">
        <w:t>Classification of Instructional Programs (CIP) codes.</w:t>
      </w:r>
      <w:r w:rsidR="005976FB">
        <w:rPr>
          <w:rStyle w:val="FootnoteReference"/>
        </w:rPr>
        <w:footnoteReference w:id="20"/>
      </w:r>
      <w:r w:rsidR="005976FB">
        <w:t xml:space="preserve"> The CIP code for degrees in TPC is 23.1303 so </w:t>
      </w:r>
      <w:r w:rsidRPr="005976FB">
        <w:t>in</w:t>
      </w:r>
      <w:r>
        <w:t xml:space="preserve"> the later stages of this project (Spring 2023), I </w:t>
      </w:r>
      <w:r w:rsidR="005976FB">
        <w:t>cross checked my data set with the data obtained from this tool.</w:t>
      </w:r>
      <w:r w:rsidR="00E004F8">
        <w:rPr>
          <w:rStyle w:val="FootnoteReference"/>
        </w:rPr>
        <w:footnoteReference w:id="21"/>
      </w:r>
      <w:r w:rsidR="00E004F8">
        <w:t xml:space="preserve"> </w:t>
      </w:r>
      <w:r w:rsidR="005976FB">
        <w:t xml:space="preserve"> </w:t>
      </w:r>
    </w:p>
    <w:p w14:paraId="3A9B420F" w14:textId="77777777" w:rsidR="003C06AE" w:rsidRDefault="003C06AE" w:rsidP="00FE3920"/>
    <w:p w14:paraId="4889F920" w14:textId="102A4F89" w:rsidR="00FE3920" w:rsidRDefault="00E91C98" w:rsidP="00FE3920">
      <w:r>
        <w:t>With a list in hand, I then went to each institution</w:t>
      </w:r>
      <w:r w:rsidR="004A2B06">
        <w:t xml:space="preserve">’s website and proceeded to verify if the school on my preliminary </w:t>
      </w:r>
      <w:r w:rsidR="008967C8">
        <w:t xml:space="preserve">list </w:t>
      </w:r>
      <w:r>
        <w:t>did indeed offer a degree in TPC</w:t>
      </w:r>
      <w:r w:rsidR="00F17B2C">
        <w:t>.</w:t>
      </w:r>
      <w:r w:rsidR="002C15F1">
        <w:t xml:space="preserve"> </w:t>
      </w:r>
      <w:r w:rsidR="00E004F8">
        <w:t>As the official declaration of an institution’s programs and curricula, the university catalog serves as a quasi-legal contract between university and student. While all course catalogs contain a disclaimer of legality, they are the most reliable data source publicly available.</w:t>
      </w:r>
      <w:r w:rsidR="004A2B06" w:rsidRPr="00BE2764">
        <w:rPr>
          <w:rStyle w:val="FootnoteReference"/>
        </w:rPr>
        <w:footnoteReference w:id="22"/>
      </w:r>
      <w:r w:rsidR="00BE2764">
        <w:t xml:space="preserve"> </w:t>
      </w:r>
      <w:r w:rsidR="00E004F8">
        <w:t xml:space="preserve">When I use the word “verify,” I mean that I looked to see if a program did </w:t>
      </w:r>
      <w:proofErr w:type="gramStart"/>
      <w:r w:rsidR="00E004F8">
        <w:t>actually exist</w:t>
      </w:r>
      <w:proofErr w:type="gramEnd"/>
      <w:r w:rsidR="00E004F8">
        <w:t xml:space="preserve">, and if so, I gathered information about it. </w:t>
      </w:r>
      <w:r w:rsidR="00FE3920">
        <w:t xml:space="preserve">As a public record that verifies and supports the legitimacy of the academic enterprise, if TPC appears in the catalog, it is a real </w:t>
      </w:r>
      <w:r w:rsidR="00D20354">
        <w:t>program</w:t>
      </w:r>
      <w:r w:rsidR="00FE3920">
        <w:t>.</w:t>
      </w:r>
      <w:r w:rsidR="00F17B2C">
        <w:t xml:space="preserve"> </w:t>
      </w:r>
      <w:r w:rsidR="00FE3920">
        <w:t xml:space="preserve">Course catalogs are also a distinct genre with similar characteristics that makes finding and comparing data easier (a point also made by Frank, Wong, Myers, &amp; Ramirez, 2000). </w:t>
      </w:r>
      <w:r w:rsidR="008E6A39">
        <w:t xml:space="preserve">The long-standing premise that one cannot “systematically </w:t>
      </w:r>
      <w:proofErr w:type="spellStart"/>
      <w:r w:rsidR="008E6A39">
        <w:t>analyz</w:t>
      </w:r>
      <w:proofErr w:type="spellEnd"/>
      <w:r w:rsidR="008E6A39">
        <w:t xml:space="preserve">[e] the curricula of so many programs (especially wherein there is no uniformity in the way the information is presented on the Web)” (Yeats &amp; Thompson, 2010, p. 260) does not hold true. </w:t>
      </w:r>
      <w:r w:rsidR="00FE3920">
        <w:t>Additionally, the catalog becomes an artifact in the institution’s academic history, and a large majority of universities archive their course catalogs either electronically or in the institution’s special collections.</w:t>
      </w:r>
      <w:r w:rsidR="001E5FB0">
        <w:t xml:space="preserve"> </w:t>
      </w:r>
      <w:r w:rsidR="00FE3920">
        <w:t xml:space="preserve">Having these </w:t>
      </w:r>
      <w:r w:rsidR="00D20354">
        <w:t>long-term</w:t>
      </w:r>
      <w:r w:rsidR="00FE3920">
        <w:t xml:space="preserve"> records means the research method is fully replicable (going forward and backward) and based on documents that are not ephemeral (e.g. department Web sites or program checklists). </w:t>
      </w:r>
    </w:p>
    <w:p w14:paraId="2D80E9CF" w14:textId="78C87436" w:rsidR="0054338F" w:rsidRDefault="00FE3920" w:rsidP="00351FA1">
      <w:r>
        <w:tab/>
        <w:t>The primary criterion that never changed and can be applied across all types of programs is that the institution had to offer a TPC degree in a general sense.</w:t>
      </w:r>
      <w:r w:rsidR="00BE2764">
        <w:t xml:space="preserve"> </w:t>
      </w:r>
      <w:r>
        <w:t>This criterion replicates the method used in earlier field-wide programmatic analysis (</w:t>
      </w:r>
      <w:r w:rsidR="00BE2764">
        <w:t>refer to</w:t>
      </w:r>
      <w:r>
        <w:t xml:space="preserve"> Keene, 1997, pp. xi-xiv). Schools that offered general writings studies programs were excluded.</w:t>
      </w:r>
      <w:r w:rsidR="00F17B2C">
        <w:t xml:space="preserve"> </w:t>
      </w:r>
      <w:r>
        <w:t xml:space="preserve">For example, several schools (e.g. Oregon State’s MA or Ball State’s BA) have degrees in writing and rhetoric that they advertise as preparing students for careers in technical writing, but a look at their curriculum shows the degree is in, as its name </w:t>
      </w:r>
      <w:r>
        <w:lastRenderedPageBreak/>
        <w:t>implies, writing and rhetoric, not TPC.</w:t>
      </w:r>
      <w:r w:rsidR="00BE2764">
        <w:rPr>
          <w:rStyle w:val="FootnoteReference"/>
        </w:rPr>
        <w:footnoteReference w:id="23"/>
      </w:r>
      <w:r w:rsidR="00351FA1">
        <w:t xml:space="preserve"> </w:t>
      </w:r>
      <w:r>
        <w:t>In addition, I did not include schools that offer specialized writing degrees that fall within the larger category of technical communication</w:t>
      </w:r>
      <w:r w:rsidR="00F17B2C">
        <w:t xml:space="preserve"> (e.g., </w:t>
      </w:r>
      <w:r>
        <w:t>Johns Hopkins</w:t>
      </w:r>
      <w:r w:rsidR="00F17B2C">
        <w:t xml:space="preserve">’ </w:t>
      </w:r>
      <w:r>
        <w:t>degree in science and medical writing</w:t>
      </w:r>
      <w:r w:rsidR="00F17B2C">
        <w:t xml:space="preserve">) or degrees in </w:t>
      </w:r>
      <w:r w:rsidR="00F17B2C" w:rsidRPr="0054338F">
        <w:t xml:space="preserve">adjacent fields that incorporate technical and professional communication (e.g., </w:t>
      </w:r>
      <w:r w:rsidRPr="0054338F">
        <w:t>Brandeis MS in user-centered design</w:t>
      </w:r>
      <w:r w:rsidR="00F17B2C" w:rsidRPr="0054338F">
        <w:t>).</w:t>
      </w:r>
      <w:r w:rsidR="00F17B2C">
        <w:t xml:space="preserve"> Cases can be made for the inclusion of all these different types of degree programs, </w:t>
      </w:r>
      <w:r>
        <w:t xml:space="preserve">my emphasis here, as with previous curricular data, is on TPC degree programs in the broadest sense, and to match as closely as possible (and </w:t>
      </w:r>
      <w:r w:rsidR="009F3FE8">
        <w:t>feasible</w:t>
      </w:r>
      <w:r>
        <w:t>) previous programmatic scholarship.</w:t>
      </w:r>
      <w:r w:rsidR="00D17A7C">
        <w:t xml:space="preserve"> I do add a bit more information in the context of certain degree types. That information can be found in the chapters on each degree. </w:t>
      </w:r>
    </w:p>
    <w:p w14:paraId="2B1A3247" w14:textId="77777777" w:rsidR="00845C62" w:rsidRDefault="00845C62" w:rsidP="00351FA1"/>
    <w:p w14:paraId="64255A1D" w14:textId="77777777" w:rsidR="00845C62" w:rsidRDefault="00845C62" w:rsidP="00845C62">
      <w:pPr>
        <w:pStyle w:val="Heading3"/>
      </w:pPr>
      <w:r w:rsidRPr="00021D79">
        <w:t>Quasi-</w:t>
      </w:r>
      <w:r>
        <w:t>intercoder reliability</w:t>
      </w:r>
    </w:p>
    <w:p w14:paraId="07FEFE3A" w14:textId="77777777" w:rsidR="00845C62" w:rsidRPr="00FE3920" w:rsidRDefault="00845C62" w:rsidP="00845C62"/>
    <w:p w14:paraId="7324742E" w14:textId="77777777" w:rsidR="00473818" w:rsidRDefault="00845C62" w:rsidP="00845C62">
      <w:r>
        <w:t xml:space="preserve">The decision to incorporate a version of intercoder reliability </w:t>
      </w:r>
      <w:r w:rsidR="005D606F">
        <w:t xml:space="preserve">(also referred to as interrater) </w:t>
      </w:r>
      <w:r>
        <w:t xml:space="preserve">can be seen as both a method decision and a practice one. I include it here in methods because the intercoder process impacted the sample. </w:t>
      </w:r>
      <w:r w:rsidR="005D606F">
        <w:t>As Cheryl Geisler and Jason Swarts (</w:t>
      </w:r>
      <w:r w:rsidR="00473818">
        <w:t>2019</w:t>
      </w:r>
      <w:r w:rsidR="005D606F">
        <w:t xml:space="preserve">) defined, “reliability refers to the degree of consistency with which coding segments are assigned to the same categories,” and “the key tool in achieving a reliable coding scheme is intercoder agreement. Intercoder agreement is the measure of the extent to which coders assign the same codes to the same set of data” (p. 155). </w:t>
      </w:r>
      <w:r>
        <w:t>I have appended the prefix, quasi, to the term to make clear that I have am using a modified approach to intercoder reliability</w:t>
      </w:r>
      <w:r w:rsidR="008313A2">
        <w:t>; one in which the goal was not a statistical “reliability” measure</w:t>
      </w:r>
      <w:r w:rsidR="005D606F">
        <w:t xml:space="preserve">. I am in total agreement with Geisler and Swarts when they posited that “perhaps no issue is more contentious in the coding of verbal data that reliability” (p. 156) in large part because in positivistic traditions, the statistical work affords a measure of objectivity. However, in my case, conversations about intent were paramount thus a I needed an approach where someone else was involved in the conversation, but in a different way than traditional intercoder. </w:t>
      </w:r>
      <w:r w:rsidR="00473818">
        <w:t xml:space="preserve">Thus, adding “quasi” is in line with Geisler and Swarts’ (2019) who offered that “in the qualitative tradition, positions on reliability are more varied” (p. 156). </w:t>
      </w:r>
      <w:r>
        <w:t xml:space="preserve">For my project, </w:t>
      </w:r>
      <w:proofErr w:type="spellStart"/>
      <w:r w:rsidR="00473818">
        <w:t>inter</w:t>
      </w:r>
      <w:r>
        <w:t>raters</w:t>
      </w:r>
      <w:proofErr w:type="spellEnd"/>
      <w:r>
        <w:t xml:space="preserve"> were used to determine what programs would “qualify” as a TPC program and which ones would not. </w:t>
      </w:r>
    </w:p>
    <w:p w14:paraId="40AD5FF7" w14:textId="77777777" w:rsidR="00473818" w:rsidRDefault="00473818" w:rsidP="00845C62"/>
    <w:p w14:paraId="1F1C0C9B" w14:textId="41F3F516" w:rsidR="00845C62" w:rsidRDefault="00473818" w:rsidP="00845C62">
      <w:r>
        <w:t>Raters reviewed the curriculum data compiled in the spreadsheets</w:t>
      </w:r>
      <w:r w:rsidRPr="00CB1990">
        <w:t xml:space="preserve">. </w:t>
      </w:r>
      <w:r>
        <w:t xml:space="preserve">I used at least two people at every stage of data collection. One of those people self-identified as a TPC academic teacher/scholar and the other self-identified as a TPC professional working outside of higher education. </w:t>
      </w:r>
      <w:r w:rsidR="00845C62" w:rsidRPr="00CB1990">
        <w:t xml:space="preserve">Lots of decisions had to be made through numerous conversations, and these conversations were </w:t>
      </w:r>
      <w:r w:rsidR="00845C62">
        <w:t xml:space="preserve">similar </w:t>
      </w:r>
      <w:r w:rsidR="008313A2">
        <w:t xml:space="preserve">in </w:t>
      </w:r>
      <w:r w:rsidR="00845C62">
        <w:t xml:space="preserve">approach and spirit to what </w:t>
      </w:r>
      <w:r w:rsidR="00845C62" w:rsidRPr="00CB1990">
        <w:t xml:space="preserve">Peter </w:t>
      </w:r>
      <w:proofErr w:type="spellStart"/>
      <w:r w:rsidR="00845C62" w:rsidRPr="00CB1990">
        <w:t>Smagorinsky</w:t>
      </w:r>
      <w:proofErr w:type="spellEnd"/>
      <w:r w:rsidR="00845C62" w:rsidRPr="00CB1990">
        <w:t xml:space="preserve"> (2008) </w:t>
      </w:r>
      <w:r w:rsidR="00845C62">
        <w:t xml:space="preserve">has called </w:t>
      </w:r>
      <w:r w:rsidR="00845C62" w:rsidRPr="00CB1990">
        <w:t>“collaborative coding,” which “provides a means through which levels of expertise may emerge through the process of discussion in relation to data” (</w:t>
      </w:r>
      <w:r w:rsidR="008313A2">
        <w:t xml:space="preserve">p. </w:t>
      </w:r>
      <w:r w:rsidR="00845C62" w:rsidRPr="00CB1990">
        <w:t>402).</w:t>
      </w:r>
      <w:r w:rsidR="00845C62">
        <w:t xml:space="preserve"> While </w:t>
      </w:r>
      <w:proofErr w:type="spellStart"/>
      <w:r w:rsidR="00845C62">
        <w:t>Smagorinsky</w:t>
      </w:r>
      <w:proofErr w:type="spellEnd"/>
      <w:r w:rsidR="00845C62">
        <w:t xml:space="preserve"> is specifically discussing coding, the same process occurred as discussions were made about whether a program was a TPC program. </w:t>
      </w:r>
      <w:r>
        <w:t xml:space="preserve">The raters changed through the course of the project, and in all, </w:t>
      </w:r>
      <w:r w:rsidRPr="00DB7C26">
        <w:t>I used eight academic raters and nine working professional raters.</w:t>
      </w:r>
    </w:p>
    <w:p w14:paraId="121C4AE9" w14:textId="77777777" w:rsidR="00845C62" w:rsidRDefault="00845C62" w:rsidP="00845C62"/>
    <w:p w14:paraId="627293C0" w14:textId="0927B752" w:rsidR="00845C62" w:rsidRDefault="00845C62" w:rsidP="00845C62">
      <w:r w:rsidRPr="00CB1990">
        <w:lastRenderedPageBreak/>
        <w:t>Often programs were excluded not because of what courses they offered, but rather by what courses they did not offer. “The field of technical communication is in many ways inscribed by technology. As a result, technical communication programs not only must provide students with a foundation in the theory and practice of the field, but also must give students some level of proficiency in the technology tools they will need to put that knowledge into service in the workplace” (</w:t>
      </w:r>
      <w:proofErr w:type="spellStart"/>
      <w:r w:rsidRPr="00CB1990">
        <w:t>Brumberger</w:t>
      </w:r>
      <w:proofErr w:type="spellEnd"/>
      <w:r w:rsidRPr="00CB1990">
        <w:t>, 2003, p. 64). Thus, even with the field’s ongoing critique and discussion of the role of technology instruction in programs (</w:t>
      </w:r>
      <w:r>
        <w:t>e.g., Albers, 2022; Salvo, 2002</w:t>
      </w:r>
      <w:r w:rsidRPr="00CB1990">
        <w:t xml:space="preserve">) the instruction and emphasis of technology throughout the program ended up being a key marker as to whether a program qualified as a program. Closely related was the need for programs to have an emphasis on production. Students needed to be asked to make </w:t>
      </w:r>
      <w:r w:rsidR="00F3326D">
        <w:t xml:space="preserve">and to produce </w:t>
      </w:r>
      <w:r w:rsidRPr="00CB1990">
        <w:t xml:space="preserve">things. If a program did not have courses where students produced professional genres with and through </w:t>
      </w:r>
      <w:proofErr w:type="gramStart"/>
      <w:r w:rsidRPr="00CB1990">
        <w:t>technology</w:t>
      </w:r>
      <w:proofErr w:type="gramEnd"/>
      <w:r w:rsidRPr="00CB1990">
        <w:t xml:space="preserve"> then those programs were excluded. Thus, many programs, even if they called their degree program “professional writing,” (or some other variation of the name), were excluded from the dataset because the degree program did not include courses with a substantial technology and/or did not include a clear and integrated emphasis on production. </w:t>
      </w:r>
    </w:p>
    <w:p w14:paraId="609B150C" w14:textId="77777777" w:rsidR="00845C62" w:rsidRDefault="00845C62" w:rsidP="00845C62"/>
    <w:p w14:paraId="671678CE" w14:textId="5BDE2C0F" w:rsidR="00845C62" w:rsidRDefault="00845C62" w:rsidP="00845C62">
      <w:r>
        <w:t xml:space="preserve">Without doubt, this process and the criteria that emerged can be critiqued in any number of ways. But, with all research projects, decisions are made to move the project forward, and decisions are made to provide clear boundaries for the project. However, I went into this project (as noted above) wanting to see how well programs were preparing students for the workplace, which includes daily writing in a variety of genres and formats mediated through technology. For TPC, the learning outcomes for a program </w:t>
      </w:r>
      <w:proofErr w:type="gramStart"/>
      <w:r>
        <w:t>have to</w:t>
      </w:r>
      <w:proofErr w:type="gramEnd"/>
      <w:r>
        <w:t xml:space="preserve"> include an emphasis on production or a theory to practice if those terms are preferred. The growing number of writing degrees indicates a strength </w:t>
      </w:r>
      <w:r w:rsidR="00F3326D">
        <w:t>of what writing</w:t>
      </w:r>
      <w:r>
        <w:t xml:space="preserve"> can offer to students, but different types of degrees can and should have different and clear learning outcomes. Those differences do matter to students, and TPC PAs should attend to those differences. Thus, the sampling approach I used is but one approach that is embedded in my own belief that curricula should align with learning outcomes and those outcomes should align with the knowledges and skills necessary to find a job and to be a productive citizen. Different degree programs can have different approaches, which is why it is easy to spot a TPC degree and see how it is different from a generalized writing degree. I encourage others to approach sampling differently, which will only afford the field important differing perspectives.</w:t>
      </w:r>
    </w:p>
    <w:p w14:paraId="61C68948" w14:textId="188D8206" w:rsidR="002B0D5F" w:rsidRDefault="002B0D5F" w:rsidP="00351FA1"/>
    <w:p w14:paraId="16B5244F" w14:textId="3D1F45B6" w:rsidR="002B0D5F" w:rsidRPr="00E60E14" w:rsidRDefault="002B0D5F" w:rsidP="00E60E14">
      <w:pPr>
        <w:pStyle w:val="Heading3"/>
      </w:pPr>
      <w:r w:rsidRPr="00CE227C">
        <w:t>Data Collected</w:t>
      </w:r>
    </w:p>
    <w:p w14:paraId="3E3E9D20" w14:textId="754D19B5" w:rsidR="002B0D5F" w:rsidRDefault="002B0D5F" w:rsidP="002B0D5F">
      <w:r w:rsidRPr="00BE5143">
        <w:t xml:space="preserve">To achieve the level of nuance and specificity necessary to fully understand </w:t>
      </w:r>
      <w:r w:rsidR="001773CA" w:rsidRPr="00BE5143">
        <w:t xml:space="preserve">TPC degree programs </w:t>
      </w:r>
      <w:r w:rsidRPr="00BE5143">
        <w:t xml:space="preserve">takes an extraordinary amount of time because </w:t>
      </w:r>
      <w:r w:rsidR="001773CA" w:rsidRPr="00BE5143">
        <w:t>there is no way to pull the data out of course catalogs into something that is then</w:t>
      </w:r>
      <w:r w:rsidR="001773CA">
        <w:t xml:space="preserve"> manageable to work with.</w:t>
      </w:r>
    </w:p>
    <w:p w14:paraId="3BDE3F96" w14:textId="583A3EE6" w:rsidR="001773CA" w:rsidRDefault="001773CA" w:rsidP="002B0D5F"/>
    <w:p w14:paraId="64276137" w14:textId="4E328FBE" w:rsidR="00BE5143" w:rsidRDefault="00BE5143" w:rsidP="002B0D5F">
      <w:r>
        <w:t xml:space="preserve">The data gathered </w:t>
      </w:r>
      <w:r w:rsidR="00D55771">
        <w:t xml:space="preserve">include </w:t>
      </w:r>
    </w:p>
    <w:p w14:paraId="05ECBD99" w14:textId="77777777" w:rsidR="00025143" w:rsidRDefault="00025143" w:rsidP="00025143"/>
    <w:p w14:paraId="7323034A" w14:textId="227FA63F" w:rsidR="00025143" w:rsidRDefault="00025143" w:rsidP="00025143">
      <w:pPr>
        <w:pStyle w:val="ListParagraph"/>
        <w:numPr>
          <w:ilvl w:val="0"/>
          <w:numId w:val="24"/>
        </w:numPr>
      </w:pPr>
      <w:r>
        <w:t xml:space="preserve">degree program </w:t>
      </w:r>
      <w:r w:rsidRPr="00EE2C8A">
        <w:t>(</w:t>
      </w:r>
      <w:r>
        <w:t>N</w:t>
      </w:r>
      <w:r w:rsidRPr="00EE2C8A">
        <w:t xml:space="preserve"> = 7</w:t>
      </w:r>
      <w:r>
        <w:t>1</w:t>
      </w:r>
      <w:r w:rsidR="001B3837">
        <w:t>6</w:t>
      </w:r>
      <w:r w:rsidRPr="00EE2C8A">
        <w:t>)</w:t>
      </w:r>
    </w:p>
    <w:p w14:paraId="338AB5E5" w14:textId="4E5D5D5F" w:rsidR="00025143" w:rsidRDefault="00025143" w:rsidP="00025143">
      <w:pPr>
        <w:pStyle w:val="ListParagraph"/>
        <w:numPr>
          <w:ilvl w:val="1"/>
          <w:numId w:val="24"/>
        </w:numPr>
      </w:pPr>
      <w:r>
        <w:t>type of degree</w:t>
      </w:r>
    </w:p>
    <w:p w14:paraId="21D3B7D8" w14:textId="12EFF8AE" w:rsidR="00025143" w:rsidRDefault="00025143" w:rsidP="00025143">
      <w:pPr>
        <w:pStyle w:val="ListParagraph"/>
        <w:numPr>
          <w:ilvl w:val="1"/>
          <w:numId w:val="24"/>
        </w:numPr>
      </w:pPr>
      <w:r>
        <w:t>name of degr</w:t>
      </w:r>
      <w:r w:rsidR="00AF0FB6">
        <w:t>ee</w:t>
      </w:r>
    </w:p>
    <w:p w14:paraId="4B90ADE8" w14:textId="15CAFA14" w:rsidR="00025143" w:rsidRDefault="00025143" w:rsidP="00025143">
      <w:pPr>
        <w:pStyle w:val="ListParagraph"/>
        <w:numPr>
          <w:ilvl w:val="1"/>
          <w:numId w:val="24"/>
        </w:numPr>
      </w:pPr>
      <w:r>
        <w:t xml:space="preserve">Administrative location </w:t>
      </w:r>
    </w:p>
    <w:p w14:paraId="50F256E1" w14:textId="43FA4C7B" w:rsidR="001773CA" w:rsidRDefault="001773CA" w:rsidP="00025143">
      <w:pPr>
        <w:pStyle w:val="ListParagraph"/>
        <w:numPr>
          <w:ilvl w:val="0"/>
          <w:numId w:val="24"/>
        </w:numPr>
      </w:pPr>
      <w:r>
        <w:lastRenderedPageBreak/>
        <w:t xml:space="preserve">curricular requirements of degree </w:t>
      </w:r>
      <w:r w:rsidRPr="00EE2C8A">
        <w:t>programs</w:t>
      </w:r>
      <w:r w:rsidR="00BE5143" w:rsidRPr="00EE2C8A">
        <w:t xml:space="preserve"> </w:t>
      </w:r>
    </w:p>
    <w:p w14:paraId="7BFBE800" w14:textId="0BBE3413" w:rsidR="001773CA" w:rsidRDefault="001773CA" w:rsidP="00025143">
      <w:pPr>
        <w:pStyle w:val="ListParagraph"/>
        <w:numPr>
          <w:ilvl w:val="1"/>
          <w:numId w:val="24"/>
        </w:numPr>
      </w:pPr>
      <w:r>
        <w:t># of hours</w:t>
      </w:r>
      <w:r w:rsidR="00BE5143">
        <w:t xml:space="preserve"> for the degree</w:t>
      </w:r>
    </w:p>
    <w:p w14:paraId="0A004848" w14:textId="461BAB5F" w:rsidR="001773CA" w:rsidRDefault="001773CA" w:rsidP="00025143">
      <w:pPr>
        <w:pStyle w:val="ListParagraph"/>
        <w:numPr>
          <w:ilvl w:val="1"/>
          <w:numId w:val="24"/>
        </w:numPr>
      </w:pPr>
      <w:r>
        <w:t># of required courses</w:t>
      </w:r>
    </w:p>
    <w:p w14:paraId="47E1A46F" w14:textId="45A666AA" w:rsidR="001773CA" w:rsidRDefault="001773CA" w:rsidP="00025143">
      <w:pPr>
        <w:pStyle w:val="ListParagraph"/>
        <w:numPr>
          <w:ilvl w:val="1"/>
          <w:numId w:val="24"/>
        </w:numPr>
      </w:pPr>
      <w:r>
        <w:t>cumulative experience (</w:t>
      </w:r>
      <w:r w:rsidR="00466F84">
        <w:t>required and kind</w:t>
      </w:r>
      <w:r>
        <w:t>)</w:t>
      </w:r>
    </w:p>
    <w:p w14:paraId="366E0B98" w14:textId="2DAC3EB0" w:rsidR="001773CA" w:rsidRDefault="001773CA" w:rsidP="00025143">
      <w:pPr>
        <w:pStyle w:val="ListParagraph"/>
        <w:numPr>
          <w:ilvl w:val="1"/>
          <w:numId w:val="24"/>
        </w:numPr>
      </w:pPr>
      <w:r>
        <w:t>internships as required, optional or neither</w:t>
      </w:r>
    </w:p>
    <w:p w14:paraId="36BF94D2" w14:textId="12DB50A7" w:rsidR="001773CA" w:rsidRDefault="001773CA" w:rsidP="00025143">
      <w:pPr>
        <w:pStyle w:val="ListParagraph"/>
        <w:numPr>
          <w:ilvl w:val="1"/>
          <w:numId w:val="24"/>
        </w:numPr>
      </w:pPr>
      <w:r>
        <w:t>online or on-site</w:t>
      </w:r>
    </w:p>
    <w:p w14:paraId="49593325" w14:textId="77777777" w:rsidR="00466F84" w:rsidRDefault="00466F84" w:rsidP="00466F84">
      <w:pPr>
        <w:pStyle w:val="ListParagraph"/>
        <w:ind w:left="1440"/>
      </w:pPr>
    </w:p>
    <w:p w14:paraId="6EBD0484" w14:textId="49ADDEC1" w:rsidR="001773CA" w:rsidRPr="00466F84" w:rsidRDefault="00BE5143" w:rsidP="00025143">
      <w:pPr>
        <w:pStyle w:val="ListParagraph"/>
        <w:numPr>
          <w:ilvl w:val="0"/>
          <w:numId w:val="24"/>
        </w:numPr>
      </w:pPr>
      <w:r w:rsidRPr="00466F84">
        <w:t>c</w:t>
      </w:r>
      <w:r w:rsidR="001773CA" w:rsidRPr="00466F84">
        <w:t>ourses (</w:t>
      </w:r>
      <w:r w:rsidR="00845C62" w:rsidRPr="00466F84">
        <w:t>N</w:t>
      </w:r>
      <w:r w:rsidR="00EE2C8A" w:rsidRPr="00466F84">
        <w:t xml:space="preserve"> = </w:t>
      </w:r>
      <w:r w:rsidR="00466F84" w:rsidRPr="00466F84">
        <w:t>67</w:t>
      </w:r>
      <w:r w:rsidR="001B3837">
        <w:t>54</w:t>
      </w:r>
      <w:r w:rsidR="001773CA" w:rsidRPr="00466F84">
        <w:t>)</w:t>
      </w:r>
    </w:p>
    <w:p w14:paraId="6463400D" w14:textId="044041AE" w:rsidR="001773CA" w:rsidRDefault="001773CA" w:rsidP="00025143">
      <w:pPr>
        <w:pStyle w:val="ListParagraph"/>
        <w:numPr>
          <w:ilvl w:val="1"/>
          <w:numId w:val="24"/>
        </w:numPr>
      </w:pPr>
      <w:r>
        <w:t>course titles</w:t>
      </w:r>
    </w:p>
    <w:p w14:paraId="4E9D158D" w14:textId="537C3A9E" w:rsidR="001773CA" w:rsidRDefault="001773CA" w:rsidP="00025143">
      <w:pPr>
        <w:pStyle w:val="ListParagraph"/>
        <w:numPr>
          <w:ilvl w:val="1"/>
          <w:numId w:val="24"/>
        </w:numPr>
      </w:pPr>
      <w:r>
        <w:t>course descriptions</w:t>
      </w:r>
    </w:p>
    <w:p w14:paraId="3A16ECB1" w14:textId="1B367D85" w:rsidR="001773CA" w:rsidRDefault="001773CA" w:rsidP="00025143">
      <w:pPr>
        <w:pStyle w:val="ListParagraph"/>
        <w:numPr>
          <w:ilvl w:val="1"/>
          <w:numId w:val="24"/>
        </w:numPr>
      </w:pPr>
      <w:r>
        <w:t>required or elective for degree</w:t>
      </w:r>
    </w:p>
    <w:p w14:paraId="6A042378" w14:textId="3BD192CD" w:rsidR="001773CA" w:rsidRDefault="001773CA" w:rsidP="002B0D5F"/>
    <w:p w14:paraId="07C1E51E" w14:textId="7A840831" w:rsidR="002B0D5F" w:rsidRDefault="00BE5143" w:rsidP="00351FA1">
      <w:r>
        <w:t xml:space="preserve">In total without any of the codes attached to the data, there are roughly 85,000 unique data points. </w:t>
      </w:r>
      <w:r w:rsidR="00E51F87">
        <w:t>The scale of the data and the fact I mostly worked alone aligns with Borgman (2015</w:t>
      </w:r>
      <w:r w:rsidR="00E60E14">
        <w:t>)</w:t>
      </w:r>
      <w:r w:rsidR="00E51F87">
        <w:t xml:space="preserve">, who cogently stated </w:t>
      </w:r>
      <w:r w:rsidR="00C447B7">
        <w:t>“</w:t>
      </w:r>
      <w:r w:rsidR="00E51F87">
        <w:t>d</w:t>
      </w:r>
      <w:r w:rsidR="00C447B7">
        <w:t xml:space="preserve">ifferences in scale of data, in turn, influence what entities become data…” (p. 58). Initially, the scale of the project was just master’s degree programs, but then as it grew in scale and scope, I did not realize the scale of the data and how it would eventually be so cumbersome to manage as someone working alone with the volume and manual nature of the work. Had the project not unfolded through the years, I likely would have abandoned it early on or made radically different decisions (such as never doing all types of degree programs). What helped in managing the scale, was that the data were collected and compiled in a series a excel spreadsheets: one for each type of degree program and then an additional spreadsheet that had institutional data and contact information for TPC PAs. </w:t>
      </w:r>
      <w:r>
        <w:t xml:space="preserve">Eventually, as I moved to finishing up this project, </w:t>
      </w:r>
      <w:proofErr w:type="gramStart"/>
      <w:r>
        <w:t>all of</w:t>
      </w:r>
      <w:proofErr w:type="gramEnd"/>
      <w:r>
        <w:t xml:space="preserve"> those spreadsheets were combined into one and the data was verified by re-visiting each institution’s course catalog. </w:t>
      </w:r>
      <w:r w:rsidR="0098063E">
        <w:t xml:space="preserve">More of this process is discussed in the Practices section below. </w:t>
      </w:r>
    </w:p>
    <w:p w14:paraId="4A8A16ED" w14:textId="2E9E709E" w:rsidR="00003D73" w:rsidRDefault="00003D73" w:rsidP="00003D73"/>
    <w:p w14:paraId="3DCDD415" w14:textId="363B3B5C" w:rsidR="00C447B7" w:rsidRDefault="00F17B2C" w:rsidP="00E60E14">
      <w:pPr>
        <w:pStyle w:val="Heading3"/>
      </w:pPr>
      <w:r w:rsidRPr="00FD3388">
        <w:t>Coding Textual Dat</w:t>
      </w:r>
      <w:r w:rsidR="0035333A" w:rsidRPr="00FD3388">
        <w:t>a</w:t>
      </w:r>
    </w:p>
    <w:p w14:paraId="7C25EFFA" w14:textId="41FF2D80" w:rsidR="0024718C" w:rsidRDefault="0035333A" w:rsidP="0035333A">
      <w:r>
        <w:t>Here I follow Johnny Saldaña (2009) and use “code” to mean a “word or short phrase that symbolically assigns a summative…attribute for a portion of language-based of visual data” (p.3), and I also approach coding as a systematic process (Geisler, 20</w:t>
      </w:r>
      <w:r w:rsidR="00DC0A9B">
        <w:t>1</w:t>
      </w:r>
      <w:r>
        <w:t xml:space="preserve">8). Once a program’s curricular data was verified and rated, “the cleaned data become the basis for the analysis from which research conclusions are drawn. Decisions about how to handle missing data, impute missing values, remove outliers, transform variables, and perform other data cleaning and analysis steps may be minimally documented” (Borgman, 2015, p. 27). The “cleaning” process focused almost exclusively on how to transform variables. Since I collected data from course catalogs and in the US, we have a standard system for degree programs, I had no problems with missing data or outliers. The challenge was figuring out how to </w:t>
      </w:r>
      <w:r w:rsidR="00800DAC">
        <w:t xml:space="preserve">turn different data points into variables that could </w:t>
      </w:r>
      <w:r w:rsidR="00E60E14">
        <w:t xml:space="preserve">be </w:t>
      </w:r>
      <w:r w:rsidR="00800DAC">
        <w:t xml:space="preserve">counted and compared. </w:t>
      </w:r>
    </w:p>
    <w:p w14:paraId="476DCCBC" w14:textId="5A542A4D" w:rsidR="0024718C" w:rsidRDefault="0024718C" w:rsidP="0035333A"/>
    <w:p w14:paraId="69E7BC4A" w14:textId="44929CA9" w:rsidR="0024718C" w:rsidRDefault="00C15E9B" w:rsidP="0035333A">
      <w:r>
        <w:t>I started each coding scheme with three key questions:</w:t>
      </w:r>
    </w:p>
    <w:p w14:paraId="4790D76F" w14:textId="3D24FB48" w:rsidR="00C15E9B" w:rsidRDefault="00C15E9B" w:rsidP="00C15E9B">
      <w:pPr>
        <w:pStyle w:val="ListParagraph"/>
        <w:numPr>
          <w:ilvl w:val="0"/>
          <w:numId w:val="19"/>
        </w:numPr>
      </w:pPr>
      <w:r>
        <w:t xml:space="preserve">Why is this code important? </w:t>
      </w:r>
    </w:p>
    <w:p w14:paraId="6627608F" w14:textId="1D3DC40D" w:rsidR="00C15E9B" w:rsidRDefault="00C15E9B" w:rsidP="00C15E9B">
      <w:pPr>
        <w:pStyle w:val="ListParagraph"/>
        <w:numPr>
          <w:ilvl w:val="0"/>
          <w:numId w:val="19"/>
        </w:numPr>
      </w:pPr>
      <w:r>
        <w:t xml:space="preserve">What does this code do </w:t>
      </w:r>
      <w:r w:rsidR="00591F23">
        <w:t xml:space="preserve">to </w:t>
      </w:r>
      <w:r>
        <w:t>understand programs from a field wide perspective?</w:t>
      </w:r>
    </w:p>
    <w:p w14:paraId="4BB25364" w14:textId="063ADB6B" w:rsidR="00C15E9B" w:rsidRDefault="00C15E9B" w:rsidP="00C15E9B">
      <w:pPr>
        <w:pStyle w:val="ListParagraph"/>
        <w:numPr>
          <w:ilvl w:val="0"/>
          <w:numId w:val="19"/>
        </w:numPr>
      </w:pPr>
      <w:r>
        <w:lastRenderedPageBreak/>
        <w:t xml:space="preserve">Can this code align with what we already know about programs from the literature? </w:t>
      </w:r>
    </w:p>
    <w:p w14:paraId="1B004C06" w14:textId="77A8D58C" w:rsidR="00620AEB" w:rsidRDefault="00620AEB" w:rsidP="00620AEB"/>
    <w:p w14:paraId="15BFA358" w14:textId="706D0BFB" w:rsidR="00F17B2C" w:rsidRDefault="00620AEB" w:rsidP="00F17B2C">
      <w:r>
        <w:t xml:space="preserve">These were guiding questions I aligned with my own understanding of the programs in the field and my experience and embeddedness with the data through time. While the piece </w:t>
      </w:r>
      <w:r w:rsidR="0051685D">
        <w:t>o</w:t>
      </w:r>
      <w:r>
        <w:t>n undergrad</w:t>
      </w:r>
      <w:r w:rsidR="0051685D">
        <w:t>uate</w:t>
      </w:r>
      <w:r>
        <w:t xml:space="preserve"> programs was published in 2013, we worked for almost two years prior to that. During that time, we took the codes I had developed for the master</w:t>
      </w:r>
      <w:r w:rsidR="0051685D">
        <w:t>’</w:t>
      </w:r>
      <w:r>
        <w:t xml:space="preserve">s </w:t>
      </w:r>
      <w:r w:rsidR="0051685D">
        <w:t xml:space="preserve">degree programs </w:t>
      </w:r>
      <w:r>
        <w:t>piece and worked with them. In particular, the coding of courses was greatly enhanced by my collaboration with Sally Henschel</w:t>
      </w:r>
      <w:r w:rsidR="000E2AC6">
        <w:t xml:space="preserve"> (2013)</w:t>
      </w:r>
      <w:r>
        <w:t xml:space="preserve">, who patiently, consistently, and persistently, challenged every existing category and enabled a more fine-tuned approach that could be replicable for the long-term. </w:t>
      </w:r>
      <w:r w:rsidR="0051685D">
        <w:t xml:space="preserve">What is interesting about the codes is that they did not change after my work with Sally Henschel. </w:t>
      </w:r>
      <w:r w:rsidR="00845C62">
        <w:t>The coding of the data makes qualitative data quantifiable so that descriptive statistics can be generated, as well as to view the data in different ways through pivot tables.</w:t>
      </w:r>
      <w:r w:rsidR="00845C62">
        <w:rPr>
          <w:rStyle w:val="FootnoteReference"/>
        </w:rPr>
        <w:footnoteReference w:id="24"/>
      </w:r>
    </w:p>
    <w:p w14:paraId="435AFBA5" w14:textId="1908B550" w:rsidR="00620AEB" w:rsidRDefault="00620AEB" w:rsidP="00F17B2C"/>
    <w:p w14:paraId="7E207548" w14:textId="232E6500" w:rsidR="0004086E" w:rsidRDefault="0004086E" w:rsidP="00F17B2C">
      <w:r>
        <w:t xml:space="preserve">Some data was easily codable so that it could be worked with and analyzed. For example, internship courses were coded as yes or no (was there an internship present) and then as required or optional. Another example is online degree programs, which were coded as yes or no; yes, the degree program is online or no, it is not. </w:t>
      </w:r>
    </w:p>
    <w:p w14:paraId="42D742C2" w14:textId="77777777" w:rsidR="0004086E" w:rsidRDefault="0004086E" w:rsidP="00F17B2C"/>
    <w:p w14:paraId="5E7E0309" w14:textId="0F28D112" w:rsidR="00620AEB" w:rsidRDefault="00620AEB" w:rsidP="00F17B2C">
      <w:r>
        <w:t>The data points that were coded</w:t>
      </w:r>
      <w:r w:rsidR="0004086E">
        <w:t xml:space="preserve"> by a descriptive code were </w:t>
      </w:r>
    </w:p>
    <w:p w14:paraId="7E511B79" w14:textId="525ADC21" w:rsidR="00620AEB" w:rsidRDefault="00845C62" w:rsidP="00620AEB">
      <w:pPr>
        <w:pStyle w:val="ListParagraph"/>
        <w:numPr>
          <w:ilvl w:val="0"/>
          <w:numId w:val="20"/>
        </w:numPr>
      </w:pPr>
      <w:r>
        <w:t>Administrative unit</w:t>
      </w:r>
      <w:r w:rsidR="00620AEB">
        <w:t xml:space="preserve"> name</w:t>
      </w:r>
      <w:r w:rsidR="001B649E">
        <w:t xml:space="preserve"> (Appendix A)</w:t>
      </w:r>
    </w:p>
    <w:p w14:paraId="00C3EBC5" w14:textId="5A1BB260" w:rsidR="00620AEB" w:rsidRDefault="00620AEB" w:rsidP="00620AEB">
      <w:pPr>
        <w:pStyle w:val="ListParagraph"/>
        <w:numPr>
          <w:ilvl w:val="0"/>
          <w:numId w:val="20"/>
        </w:numPr>
      </w:pPr>
      <w:r>
        <w:t>Degree name</w:t>
      </w:r>
      <w:r w:rsidR="001B649E">
        <w:t xml:space="preserve"> (Appendix B)</w:t>
      </w:r>
    </w:p>
    <w:p w14:paraId="2E292A1E" w14:textId="2F0BD8ED" w:rsidR="00620AEB" w:rsidRDefault="0004086E" w:rsidP="00620AEB">
      <w:pPr>
        <w:pStyle w:val="ListParagraph"/>
        <w:numPr>
          <w:ilvl w:val="0"/>
          <w:numId w:val="20"/>
        </w:numPr>
      </w:pPr>
      <w:r>
        <w:t>Courses</w:t>
      </w:r>
      <w:r w:rsidR="001B649E">
        <w:t xml:space="preserve"> (Appendix C)</w:t>
      </w:r>
    </w:p>
    <w:p w14:paraId="5754E247" w14:textId="2BE968AC" w:rsidR="00620AEB" w:rsidRDefault="00620AEB" w:rsidP="00620AEB"/>
    <w:p w14:paraId="51A21F16" w14:textId="79316D8A" w:rsidR="00FB7300" w:rsidRDefault="00845C62" w:rsidP="00FB7300">
      <w:r>
        <w:t xml:space="preserve">Administrative unit </w:t>
      </w:r>
      <w:r w:rsidR="0004086E">
        <w:t xml:space="preserve">connects to the field’s ongoing interest in where TPC programs are </w:t>
      </w:r>
      <w:r>
        <w:t>administratively located</w:t>
      </w:r>
      <w:r w:rsidR="0004086E">
        <w:t>.</w:t>
      </w:r>
      <w:r w:rsidR="00D55771">
        <w:rPr>
          <w:rStyle w:val="FootnoteReference"/>
        </w:rPr>
        <w:footnoteReference w:id="25"/>
      </w:r>
      <w:r w:rsidR="00D55771">
        <w:t xml:space="preserve"> </w:t>
      </w:r>
      <w:r w:rsidR="0004086E">
        <w:t xml:space="preserve">These codes were based on the disciplinary or department name. In most cases, these follow a logical pattern such as department names with English were coded as English; department names that had TPC (or some variation) were coded as TPC. The most subjective </w:t>
      </w:r>
      <w:r w:rsidR="00FB7300">
        <w:t>coding</w:t>
      </w:r>
      <w:r w:rsidR="0004086E">
        <w:t xml:space="preserve"> had to do with when I incorporated a + into the code</w:t>
      </w:r>
      <w:r w:rsidR="00FB7300">
        <w:t xml:space="preserve"> to stand for a department such as English, Philosophy and Linguistics. Rhetoricians know that highlighting one thing means obscuring another. Working with programmatic data means that at any one moment, I am obscuring </w:t>
      </w:r>
      <w:r w:rsidR="00D55771">
        <w:t>several</w:t>
      </w:r>
      <w:r w:rsidR="00FB7300">
        <w:t xml:space="preserve"> different ways of classifying </w:t>
      </w:r>
      <w:r w:rsidR="002A3B6B">
        <w:t>and</w:t>
      </w:r>
      <w:r w:rsidR="00FB7300">
        <w:t xml:space="preserve"> seeing the data, as the discussion on coding data below highlights.</w:t>
      </w:r>
      <w:r w:rsidR="00490F5D">
        <w:t xml:space="preserve"> </w:t>
      </w:r>
    </w:p>
    <w:p w14:paraId="4025A002" w14:textId="77777777" w:rsidR="00FB7300" w:rsidRDefault="00FB7300" w:rsidP="00FB7300"/>
    <w:p w14:paraId="536EA978" w14:textId="615766ED" w:rsidR="00FB7300" w:rsidRDefault="00FB7300" w:rsidP="00FB7300">
      <w:r>
        <w:t xml:space="preserve">Much work that discusses coding cautions against having a large “other” category, but what would have happened if I had chosen to code those college level “departments” as writing departments? Since my point was to try and show most accurately where degree programs are housed, it could be argued that had I coded those as “writing departments’ that I was misrepresenting the data, but in some ways the fact that they are housed at the college level with a writing emphasis, the case can also be made that they do belong as </w:t>
      </w:r>
      <w:r>
        <w:lastRenderedPageBreak/>
        <w:t xml:space="preserve">part of the “writing departments” category. This one example is intended to show the nuanced specifics and ramifications of coding and the idea that all classification systems simultaneously organize and illuminate while constricting and obscuring. </w:t>
      </w:r>
    </w:p>
    <w:p w14:paraId="34614CC0" w14:textId="60558036" w:rsidR="0004086E" w:rsidRDefault="0004086E" w:rsidP="00620AEB"/>
    <w:p w14:paraId="50098547" w14:textId="1E573C80" w:rsidR="0004086E" w:rsidRDefault="00FB7300" w:rsidP="00620AEB">
      <w:r>
        <w:t xml:space="preserve">Degree names were coded to account for the wide variety and combinations of degree names. I have consistently coded them focusing on the technical, professional, writing, communication, and rhetoric. Again the + was incorporated to account for variations and reduce the number of program names in the “other” category. These codes have remained consistent over the course of the project. However, rhetoric as part of the degree name was a late addition within the last several years. </w:t>
      </w:r>
    </w:p>
    <w:p w14:paraId="097E47AC" w14:textId="77777777" w:rsidR="0004086E" w:rsidRDefault="0004086E" w:rsidP="00620AEB"/>
    <w:p w14:paraId="56D0AFDE" w14:textId="3ECF6C6A" w:rsidR="00EA5EC6" w:rsidRPr="00EA5EC6" w:rsidRDefault="0035333A" w:rsidP="00EA5EC6">
      <w:pPr>
        <w:autoSpaceDE w:val="0"/>
        <w:autoSpaceDN w:val="0"/>
        <w:adjustRightInd w:val="0"/>
        <w:rPr>
          <w:rFonts w:cs="Times New Roman"/>
          <w:i/>
          <w:iCs/>
          <w:sz w:val="23"/>
          <w:szCs w:val="23"/>
        </w:rPr>
      </w:pPr>
      <w:r>
        <w:t xml:space="preserve">Courses were categorized </w:t>
      </w:r>
      <w:r w:rsidR="00FB7300">
        <w:t xml:space="preserve">first </w:t>
      </w:r>
      <w:r>
        <w:t xml:space="preserve">as required or as elective. </w:t>
      </w:r>
      <w:r w:rsidR="00EA5EC6" w:rsidRPr="00EA5EC6">
        <w:rPr>
          <w:rFonts w:cs="Times New Roman"/>
          <w:sz w:val="23"/>
          <w:szCs w:val="23"/>
        </w:rPr>
        <w:t>Required courses, as the name implies, include those listed in the catalog as required to complete the degree. The required course listing is comprehensive. The elective course category includes courses listed as possible electives or encompasses groups of courses from which students are asked to choose. The way programs address electives varies: At one end of the spectrum are programs that prescribe all courses to be taken in the major (that is, there are no electives). In the middle are programs that offer relatively few TPC courses and/or provide a comprehensive list of electives, which made data collection comparatively simple. At the far end were large programs with a plethora of electives, which required that we examine the entire list of course offerings from the university catalog and agree on the inclusion and coding of courses that we had not previously identified under required courses. Thus, the elective category is representative of courses across the field, but it is not comprehensive.</w:t>
      </w:r>
      <w:r w:rsidR="00265035">
        <w:rPr>
          <w:rFonts w:cs="Times New Roman"/>
          <w:sz w:val="23"/>
          <w:szCs w:val="23"/>
        </w:rPr>
        <w:t xml:space="preserve"> In </w:t>
      </w:r>
      <w:r w:rsidR="00265035" w:rsidRPr="0054338F">
        <w:rPr>
          <w:rFonts w:cs="Times New Roman"/>
          <w:sz w:val="23"/>
          <w:szCs w:val="23"/>
        </w:rPr>
        <w:t>addition, I did not gather information on the category of courses because it was so inconsistently labeled and inconsistently note</w:t>
      </w:r>
      <w:r w:rsidR="00054E38">
        <w:rPr>
          <w:rFonts w:cs="Times New Roman"/>
          <w:sz w:val="23"/>
          <w:szCs w:val="23"/>
        </w:rPr>
        <w:t>d</w:t>
      </w:r>
      <w:r w:rsidR="00265035" w:rsidRPr="0054338F">
        <w:rPr>
          <w:rFonts w:cs="Times New Roman"/>
          <w:sz w:val="23"/>
          <w:szCs w:val="23"/>
        </w:rPr>
        <w:t xml:space="preserve">, as well as there was little information on why categories may exist. For example, many institutions may have a pick </w:t>
      </w:r>
      <w:r w:rsidR="00054E38">
        <w:rPr>
          <w:rFonts w:cs="Times New Roman"/>
          <w:sz w:val="23"/>
          <w:szCs w:val="23"/>
        </w:rPr>
        <w:t>two</w:t>
      </w:r>
      <w:r w:rsidR="00265035" w:rsidRPr="0054338F">
        <w:rPr>
          <w:rFonts w:cs="Times New Roman"/>
          <w:sz w:val="23"/>
          <w:szCs w:val="23"/>
        </w:rPr>
        <w:t xml:space="preserve"> or three</w:t>
      </w:r>
      <w:r w:rsidR="00265035">
        <w:rPr>
          <w:rFonts w:cs="Times New Roman"/>
          <w:sz w:val="23"/>
          <w:szCs w:val="23"/>
        </w:rPr>
        <w:t xml:space="preserve"> from this group and another </w:t>
      </w:r>
      <w:r w:rsidR="00054E38">
        <w:rPr>
          <w:rFonts w:cs="Times New Roman"/>
          <w:sz w:val="23"/>
          <w:szCs w:val="23"/>
        </w:rPr>
        <w:t>two</w:t>
      </w:r>
      <w:r w:rsidR="00265035">
        <w:rPr>
          <w:rFonts w:cs="Times New Roman"/>
          <w:sz w:val="23"/>
          <w:szCs w:val="23"/>
        </w:rPr>
        <w:t xml:space="preserve"> or three </w:t>
      </w:r>
      <w:r w:rsidR="0054338F">
        <w:rPr>
          <w:rFonts w:cs="Times New Roman"/>
          <w:sz w:val="23"/>
          <w:szCs w:val="23"/>
        </w:rPr>
        <w:t>f</w:t>
      </w:r>
      <w:r w:rsidR="00265035">
        <w:rPr>
          <w:rFonts w:cs="Times New Roman"/>
          <w:sz w:val="23"/>
          <w:szCs w:val="23"/>
        </w:rPr>
        <w:t>rom that group. Rarely are t</w:t>
      </w:r>
      <w:r w:rsidR="003162D5">
        <w:rPr>
          <w:rFonts w:cs="Times New Roman"/>
          <w:sz w:val="23"/>
          <w:szCs w:val="23"/>
        </w:rPr>
        <w:t xml:space="preserve">he rationales for those </w:t>
      </w:r>
      <w:r w:rsidR="00265035">
        <w:rPr>
          <w:rFonts w:cs="Times New Roman"/>
          <w:sz w:val="23"/>
          <w:szCs w:val="23"/>
        </w:rPr>
        <w:t>larger categories of courses explained</w:t>
      </w:r>
      <w:r w:rsidR="003162D5">
        <w:rPr>
          <w:rFonts w:cs="Times New Roman"/>
          <w:sz w:val="23"/>
          <w:szCs w:val="23"/>
        </w:rPr>
        <w:t xml:space="preserve"> (although some educated guesses can be made). Because of the lack of clarity, I maintained the approach I had previously used and collected courses as electives. </w:t>
      </w:r>
    </w:p>
    <w:p w14:paraId="22F01116" w14:textId="77777777" w:rsidR="00EA5EC6" w:rsidRDefault="00EA5EC6" w:rsidP="00620AEB"/>
    <w:p w14:paraId="1E49B3E0" w14:textId="3CF81649" w:rsidR="003162D5" w:rsidRDefault="00466F84" w:rsidP="00054E38">
      <w:r>
        <w:t xml:space="preserve">Codes capture the main topic or goal of the </w:t>
      </w:r>
      <w:proofErr w:type="gramStart"/>
      <w:r>
        <w:t>course</w:t>
      </w:r>
      <w:proofErr w:type="gramEnd"/>
      <w:r>
        <w:t xml:space="preserve"> so the codes developed organically from a review of course titles and descriptions. (</w:t>
      </w:r>
      <w:r w:rsidR="003162D5">
        <w:t xml:space="preserve">Refer to Appendix C for the </w:t>
      </w:r>
      <w:r>
        <w:t xml:space="preserve">complete </w:t>
      </w:r>
      <w:r w:rsidR="003162D5">
        <w:t>codebook</w:t>
      </w:r>
      <w:r w:rsidR="00A15C81">
        <w:t xml:space="preserve"> for courses</w:t>
      </w:r>
      <w:r w:rsidR="003162D5">
        <w:t xml:space="preserve">.) I followed the codes that were </w:t>
      </w:r>
      <w:r>
        <w:t xml:space="preserve">refined </w:t>
      </w:r>
      <w:r w:rsidR="003162D5">
        <w:t>with Sally Henschel</w:t>
      </w:r>
      <w:r>
        <w:t xml:space="preserve"> (2013) </w:t>
      </w:r>
      <w:r w:rsidR="003162D5">
        <w:t xml:space="preserve">and </w:t>
      </w:r>
      <w:r>
        <w:t xml:space="preserve">were originally used in my first piece on programs (2009). </w:t>
      </w:r>
      <w:r w:rsidR="00EA5EC6">
        <w:t>We wanted codes that accurately classified the type of courses offered, while limiting the number of codes to generate meaningful data. We relied on course titles and accompanying course descriptions to assign a course to a category</w:t>
      </w:r>
      <w:r w:rsidR="00A8434D">
        <w:t>, as well as insights gained from faculty interviews</w:t>
      </w:r>
      <w:r w:rsidR="00EA5EC6">
        <w:t>. For example, many institutions offer an introductory course, but those courses are often named different things. Thus, a “foundations of technical writing” and an “introduction to professional and technical writing” were both coded intro</w:t>
      </w:r>
      <w:r w:rsidR="00054E38">
        <w:t xml:space="preserve"> because the course description made clear that the objective of the course was to introduce the field</w:t>
      </w:r>
      <w:r w:rsidR="00EA5EC6">
        <w:t xml:space="preserve">. This enabled us to quantify the number of institutions that offered a particular </w:t>
      </w:r>
      <w:r w:rsidR="00391005">
        <w:t xml:space="preserve">type of </w:t>
      </w:r>
      <w:r w:rsidR="00EA5EC6">
        <w:t xml:space="preserve">course. </w:t>
      </w:r>
      <w:r w:rsidR="00632334">
        <w:t>I coded courses first by their titles. Then I read through the course descriptions of each group of coded courses. This was a version of a consistency check</w:t>
      </w:r>
      <w:r w:rsidR="00632334">
        <w:rPr>
          <w:rStyle w:val="FootnoteReference"/>
        </w:rPr>
        <w:footnoteReference w:id="26"/>
      </w:r>
      <w:r w:rsidR="00632334">
        <w:t xml:space="preserve">(Clegg, et al., 2021). Doing this step (or one similar) is useful for solo coding because it helps to ensure </w:t>
      </w:r>
      <w:r w:rsidR="00632334">
        <w:lastRenderedPageBreak/>
        <w:t>the code is being applied consistently across all the items using that code</w:t>
      </w:r>
      <w:r>
        <w:t xml:space="preserve"> and performs as something akin to a reliability check.</w:t>
      </w:r>
    </w:p>
    <w:p w14:paraId="1A1DF915" w14:textId="77777777" w:rsidR="003162D5" w:rsidRDefault="003162D5" w:rsidP="00054E38"/>
    <w:p w14:paraId="73613468" w14:textId="647F0627" w:rsidR="00FD42C0" w:rsidRPr="00B71EEC" w:rsidRDefault="00632334" w:rsidP="00003D73">
      <w:pPr>
        <w:rPr>
          <w:highlight w:val="yellow"/>
        </w:rPr>
      </w:pPr>
      <w:r>
        <w:t>To</w:t>
      </w:r>
      <w:r w:rsidR="00EA5EC6">
        <w:t xml:space="preserve"> capture as much specific information as possible, we </w:t>
      </w:r>
      <w:r w:rsidR="00466F84">
        <w:t>used both</w:t>
      </w:r>
      <w:r w:rsidR="00EA5EC6">
        <w:t xml:space="preserve"> primary and secondary code</w:t>
      </w:r>
      <w:r w:rsidR="00466F84">
        <w:t>s</w:t>
      </w:r>
      <w:r w:rsidR="00EA5EC6">
        <w:t xml:space="preserve">. For example, we wanted to capture the different types of genres being taught. Coding a course as genre captured the quantifiable importance of learning different genres. Adding a secondary code enabled us to be more specific as to the type of genre </w:t>
      </w:r>
      <w:r w:rsidR="00EA5EC6" w:rsidRPr="00B71EEC">
        <w:t>course being offered. For instance, a course titled “Grants and Proposals” was assigned the primary code of genre and the secondary code of proposals.</w:t>
      </w:r>
      <w:r w:rsidR="00EA5EC6" w:rsidRPr="00B71EEC">
        <w:rPr>
          <w:rStyle w:val="FootnoteReference"/>
        </w:rPr>
        <w:footnoteReference w:id="27"/>
      </w:r>
      <w:r w:rsidR="00EA5EC6" w:rsidRPr="00B71EEC">
        <w:t xml:space="preserve"> </w:t>
      </w:r>
      <w:r w:rsidR="00466F84" w:rsidRPr="00B71EEC">
        <w:t xml:space="preserve">When I did the coding for this </w:t>
      </w:r>
      <w:r w:rsidRPr="00B71EEC">
        <w:t xml:space="preserve">iteration of </w:t>
      </w:r>
      <w:r w:rsidR="00466F84" w:rsidRPr="00B71EEC">
        <w:t xml:space="preserve">the project, </w:t>
      </w:r>
      <w:r w:rsidRPr="00B71EEC">
        <w:t xml:space="preserve">more secondary codes </w:t>
      </w:r>
      <w:r w:rsidR="00466F84" w:rsidRPr="00B71EEC">
        <w:t xml:space="preserve">were added </w:t>
      </w:r>
      <w:r w:rsidRPr="00B71EEC">
        <w:t xml:space="preserve">to gain deeper insights into courses. Since experience has helped me understand programs better, I was more equipped to not only spot secondary trends, but to find ways to categorize them that might provide meaning to others. </w:t>
      </w:r>
      <w:r w:rsidR="003162D5" w:rsidRPr="00B71EEC">
        <w:t>For example, the code “writ</w:t>
      </w:r>
      <w:r w:rsidR="00845C62" w:rsidRPr="00B71EEC">
        <w:t>ing</w:t>
      </w:r>
      <w:r w:rsidR="003162D5" w:rsidRPr="00B71EEC">
        <w:t>” is for a course that is focused on writing, but not specifically on genres. These courses came in a variety of types such as freelance writing or writing for publication. I thought it important to understand the scope of writing courses in programs (compared to courses that the primary goal is analysis), but to also gain insights into what the focus of that writing was.</w:t>
      </w:r>
      <w:r w:rsidR="000F12DA" w:rsidRPr="00B71EEC">
        <w:t xml:space="preserve"> </w:t>
      </w:r>
      <w:r w:rsidR="00B915E7" w:rsidRPr="00B71EEC">
        <w:t>In all I used 39 primary codes</w:t>
      </w:r>
      <w:r w:rsidR="00B71EEC" w:rsidRPr="00B71EEC">
        <w:t xml:space="preserve"> and 37 secondary codes for coding the 67</w:t>
      </w:r>
      <w:r w:rsidR="00A15C81">
        <w:t>54</w:t>
      </w:r>
      <w:r w:rsidR="00B71EEC" w:rsidRPr="00B71EEC">
        <w:t xml:space="preserve"> courses.</w:t>
      </w:r>
      <w:r w:rsidR="00B71EEC">
        <w:t xml:space="preserve"> </w:t>
      </w:r>
      <w:r w:rsidR="00FD42C0">
        <w:t>Secondary codes are also explained in the codebook.</w:t>
      </w:r>
      <w:r w:rsidR="00B71EEC">
        <w:rPr>
          <w:rStyle w:val="FootnoteReference"/>
        </w:rPr>
        <w:footnoteReference w:id="28"/>
      </w:r>
      <w:r w:rsidR="00FD42C0">
        <w:t xml:space="preserve"> </w:t>
      </w:r>
    </w:p>
    <w:p w14:paraId="29149CBB" w14:textId="77777777" w:rsidR="003162D5" w:rsidRDefault="00003D73" w:rsidP="003162D5">
      <w:pPr>
        <w:pStyle w:val="Heading2"/>
      </w:pPr>
      <w:r w:rsidRPr="00601364">
        <w:t>Composite Interviews</w:t>
      </w:r>
    </w:p>
    <w:p w14:paraId="5859D95C" w14:textId="71987A96" w:rsidR="00407ADC" w:rsidRDefault="00E754AD" w:rsidP="003162D5">
      <w:r>
        <w:t xml:space="preserve">When Kirk </w:t>
      </w:r>
      <w:proofErr w:type="gramStart"/>
      <w:r>
        <w:t>St.Amant</w:t>
      </w:r>
      <w:proofErr w:type="gramEnd"/>
      <w:r>
        <w:t xml:space="preserve"> and I (2019) reviewed empirical scholarship in TPC, we found that interviews was one of the most common methods used. As a method that is designed to gain deeper insights into participants</w:t>
      </w:r>
      <w:r w:rsidR="00F206BF">
        <w:t>’</w:t>
      </w:r>
      <w:r>
        <w:t xml:space="preserve"> experiences and perceptions, interviews offer a depth to research questions. Moreover, interviews shed light on localized </w:t>
      </w:r>
      <w:r w:rsidR="00A81AFD">
        <w:t>situations</w:t>
      </w:r>
      <w:r>
        <w:t xml:space="preserve"> that can then be used to induce field wide concerns. </w:t>
      </w:r>
      <w:r w:rsidR="00FD3388">
        <w:t>I never approached interviewing in a more traditional sense of working toward saturation or quasi-saturation</w:t>
      </w:r>
      <w:r w:rsidR="00021D79">
        <w:rPr>
          <w:rStyle w:val="FootnoteReference"/>
        </w:rPr>
        <w:footnoteReference w:id="29"/>
      </w:r>
      <w:r w:rsidR="00FD3388">
        <w:t xml:space="preserve"> (Melonçon</w:t>
      </w:r>
      <w:r w:rsidR="00F94644">
        <w:t xml:space="preserve"> </w:t>
      </w:r>
      <w:r w:rsidR="00FD3388">
        <w:t xml:space="preserve">et al., </w:t>
      </w:r>
      <w:r w:rsidR="00F94644">
        <w:t>2020a</w:t>
      </w:r>
      <w:r w:rsidR="00FD3388">
        <w:t xml:space="preserve">). Rather, my goals for interviews </w:t>
      </w:r>
      <w:r w:rsidR="002A3B6B">
        <w:t>were</w:t>
      </w:r>
      <w:r w:rsidR="00FD3388">
        <w:t xml:space="preserve"> to learn more about TPC PAs and faculty understanding of programs contextually within their own situations and what they understand about programs more broadly.</w:t>
      </w:r>
      <w:r w:rsidR="005D17E5">
        <w:t xml:space="preserve"> In this sense, I was using interviews as a form of evaluation research in that I wanted to evaluate TPC programs by using insights from TPC PAs and faculty alongside field-wide data. </w:t>
      </w:r>
      <w:r w:rsidR="00150FEC">
        <w:t xml:space="preserve">This use of interviews also brought forth important </w:t>
      </w:r>
      <w:r w:rsidR="00EB4C10">
        <w:t>insights</w:t>
      </w:r>
      <w:r w:rsidR="00150FEC">
        <w:t xml:space="preserve"> about TPC PAs and faculty perceptions of programs and program building. </w:t>
      </w:r>
    </w:p>
    <w:p w14:paraId="274432B7" w14:textId="241F9E36" w:rsidR="00A81AFD" w:rsidRDefault="00A81AFD" w:rsidP="00B666FF"/>
    <w:p w14:paraId="43C8BC52" w14:textId="0F65AAAD" w:rsidR="00407ADC" w:rsidRDefault="00FD3388" w:rsidP="00B666FF">
      <w:r>
        <w:lastRenderedPageBreak/>
        <w:t xml:space="preserve">While I </w:t>
      </w:r>
      <w:r w:rsidR="00150FEC">
        <w:t>didn’t</w:t>
      </w:r>
      <w:r>
        <w:t xml:space="preserve"> learn the term, purposive sampling, until </w:t>
      </w:r>
      <w:r w:rsidR="004D26A4">
        <w:t xml:space="preserve">a few years after I started interviews, I did use that approach when selecting whom to interview. </w:t>
      </w:r>
      <w:r w:rsidR="00B666FF">
        <w:t xml:space="preserve">Purposive sampling </w:t>
      </w:r>
      <w:r w:rsidR="004D26A4">
        <w:t xml:space="preserve">is “primarily used in qualitative studies and may be defined as selecting units based on specific purposes associated with answering a research study’s questions” (Teddlie &amp; Yu, 2007, p. 77). In purposive sampling “particular settings, persons, or events are deliberately selected for the important information they can provide that cannot be gotten as well from other choices” (Maxwell, 1997, p. 87). The main criterion for selection was that participants were a TPC PA or a faculty member, who taught in a TPC program. </w:t>
      </w:r>
    </w:p>
    <w:p w14:paraId="460C6761" w14:textId="77777777" w:rsidR="00777BE0" w:rsidRPr="0061463C" w:rsidRDefault="00777BE0" w:rsidP="00777BE0"/>
    <w:p w14:paraId="672EA82E" w14:textId="287A0724" w:rsidR="00B168F3" w:rsidRDefault="00777BE0" w:rsidP="00B666FF">
      <w:r>
        <w:t xml:space="preserve">Over the course of this project, I have interviewed </w:t>
      </w:r>
      <w:r w:rsidR="00B168F3">
        <w:t xml:space="preserve">over 60+ </w:t>
      </w:r>
      <w:r>
        <w:t xml:space="preserve">TPC </w:t>
      </w:r>
      <w:r w:rsidR="00B168F3">
        <w:t>PAs and faculty</w:t>
      </w:r>
      <w:r>
        <w:t xml:space="preserve">. </w:t>
      </w:r>
      <w:r w:rsidR="005D17E5">
        <w:t xml:space="preserve">Those interviews were all loosely structured, which </w:t>
      </w:r>
      <w:r w:rsidR="00D55771">
        <w:t xml:space="preserve">means there were not </w:t>
      </w:r>
      <w:r w:rsidR="005D17E5">
        <w:t>a list of questions</w:t>
      </w:r>
      <w:r w:rsidR="00D55771">
        <w:t xml:space="preserve"> found in semi-structured or structured interviews. Rather, the interviews had </w:t>
      </w:r>
      <w:r w:rsidR="005D17E5">
        <w:t>a general starting point (Gordon, 2016, pp. 23-25</w:t>
      </w:r>
      <w:r w:rsidR="00520B28">
        <w:t xml:space="preserve">). </w:t>
      </w:r>
      <w:r w:rsidR="00B168F3">
        <w:t xml:space="preserve">There will not be a table listing interview participants because it got too complicated to figure out how to classify them. For example, there were three TPC PAs </w:t>
      </w:r>
      <w:r w:rsidR="0011541B">
        <w:t>(all at master</w:t>
      </w:r>
      <w:r w:rsidR="0051685D">
        <w:t>’</w:t>
      </w:r>
      <w:r w:rsidR="0011541B">
        <w:t xml:space="preserve">s </w:t>
      </w:r>
      <w:r w:rsidR="0051685D">
        <w:t xml:space="preserve">level </w:t>
      </w:r>
      <w:r w:rsidR="0011541B">
        <w:t xml:space="preserve">institutions) </w:t>
      </w:r>
      <w:r w:rsidR="00B168F3">
        <w:t xml:space="preserve">that I interviewed numerous times over the span of this study; there are number of TPC PAs whose institutions have changed, closed, consolidated; there are number of faculty who I interviewed because they switched institutions; I interviewed a handful of faculty as they started programs and a few </w:t>
      </w:r>
      <w:r w:rsidR="0011541B">
        <w:t>who</w:t>
      </w:r>
      <w:r w:rsidR="00B168F3">
        <w:t xml:space="preserve"> closed </w:t>
      </w:r>
      <w:r w:rsidR="0011541B">
        <w:t>them</w:t>
      </w:r>
      <w:r w:rsidR="00B168F3">
        <w:t xml:space="preserve">. </w:t>
      </w:r>
      <w:r w:rsidR="0011541B">
        <w:t xml:space="preserve">There was also interviews with faculty as they transitioned into full-time jobs and then follow-up interviews as they learned about programs in practice. </w:t>
      </w:r>
      <w:r w:rsidR="00B168F3">
        <w:t xml:space="preserve">Then there are the times when I deliberately had two (sometimes three) faculty together, not a focus group, but also not an interview, and those instances were even more free flowing than the loosely structured interview. None of these </w:t>
      </w:r>
      <w:r w:rsidR="0011541B">
        <w:t xml:space="preserve">situations </w:t>
      </w:r>
      <w:r w:rsidR="00B168F3">
        <w:t>fit neatly into a table.</w:t>
      </w:r>
    </w:p>
    <w:p w14:paraId="31C0AC21" w14:textId="77777777" w:rsidR="00B168F3" w:rsidRDefault="00B168F3" w:rsidP="00B666FF"/>
    <w:p w14:paraId="41420E0F" w14:textId="63A2A7CE" w:rsidR="00407ADC" w:rsidRDefault="00B168F3" w:rsidP="00B666FF">
      <w:r>
        <w:t>F</w:t>
      </w:r>
      <w:r w:rsidR="0054338F">
        <w:t>urthermore, f</w:t>
      </w:r>
      <w:r>
        <w:t xml:space="preserve">or many of those interviews, it </w:t>
      </w:r>
      <w:r w:rsidR="00505DCC">
        <w:t xml:space="preserve">would be impossible for me to mask the identity of the person and/or the program. This raised </w:t>
      </w:r>
      <w:r w:rsidR="00777BE0">
        <w:t xml:space="preserve">ethical considerations even in something as innocuous as programmatic research. </w:t>
      </w:r>
      <w:r w:rsidR="00F537FF">
        <w:t>“</w:t>
      </w:r>
      <w:r w:rsidR="00505DCC">
        <w:t>Institutional</w:t>
      </w:r>
      <w:r w:rsidR="00F537FF">
        <w:t xml:space="preserve"> critique scholarship routinely requires researchers to strike a careful balance between institutional specificity and accountability on the one hand and individual rights and privacy of people within a specific institutional setting on the other” (</w:t>
      </w:r>
      <w:r w:rsidR="00F537FF" w:rsidRPr="00FD1597">
        <w:t>Lamos, 2012, p. 163</w:t>
      </w:r>
      <w:r w:rsidR="00F537FF">
        <w:t xml:space="preserve">). </w:t>
      </w:r>
      <w:r w:rsidR="00505DCC">
        <w:t xml:space="preserve">The need for privacy for those who participated </w:t>
      </w:r>
      <w:r w:rsidR="00F537FF">
        <w:t xml:space="preserve">meant I needed </w:t>
      </w:r>
      <w:r w:rsidR="008E45FD">
        <w:t xml:space="preserve">another way to present the information. </w:t>
      </w:r>
    </w:p>
    <w:p w14:paraId="25DC8519" w14:textId="4FAEA09B" w:rsidR="00F537FF" w:rsidRDefault="00F537FF" w:rsidP="00B666FF"/>
    <w:p w14:paraId="431BD56A" w14:textId="74AE0BE6" w:rsidR="000C4F8E" w:rsidRDefault="00CB776C" w:rsidP="00003D73">
      <w:r>
        <w:t xml:space="preserve">Researchers in other fields have begun to experiment with the ideas of composites, where information is combined together to provide an extra layer of protection. For example, Rebecca Willis (2018) developed a “composite narratives” technique where her 14 interviews with politicians turned into four representative people who represented common characteristics of the interviewees or important themes and implications. Annette Markham (2012) took a slightly different, yet similar approach, when she created “fabrications,” which </w:t>
      </w:r>
      <w:r w:rsidRPr="00CB776C">
        <w:t>involve</w:t>
      </w:r>
      <w:r w:rsidR="00BC69DA">
        <w:t>d</w:t>
      </w:r>
      <w:r w:rsidRPr="00CB776C">
        <w:t xml:space="preserve"> creating a bricolage-style composite that </w:t>
      </w:r>
      <w:r w:rsidR="00BC69DA">
        <w:t>were</w:t>
      </w:r>
      <w:r>
        <w:t xml:space="preserve"> </w:t>
      </w:r>
      <w:r w:rsidRPr="00CB776C">
        <w:t xml:space="preserve">representative of the online interactions she wanted to discuss. </w:t>
      </w:r>
      <w:r w:rsidR="00BC69DA">
        <w:t>Both</w:t>
      </w:r>
      <w:r>
        <w:t xml:space="preserve"> Willis </w:t>
      </w:r>
      <w:r w:rsidR="00BC69DA">
        <w:t xml:space="preserve">(2018) </w:t>
      </w:r>
      <w:r>
        <w:t>and Markham</w:t>
      </w:r>
      <w:r w:rsidR="00BC69DA">
        <w:t xml:space="preserve"> (2012) were moved to innovative methods because of ethical concerns around anonymity and </w:t>
      </w:r>
      <w:r w:rsidR="00BC69DA" w:rsidRPr="000C4F8E">
        <w:t>privacy.</w:t>
      </w:r>
      <w:r w:rsidRPr="000C4F8E">
        <w:t xml:space="preserve"> Thus, when I report information from interviews, it is in composite form where data from several interviews are combined</w:t>
      </w:r>
      <w:r w:rsidR="000C4F8E" w:rsidRPr="000C4F8E">
        <w:t>.</w:t>
      </w:r>
    </w:p>
    <w:p w14:paraId="4372B744" w14:textId="77777777" w:rsidR="00FD1597" w:rsidRDefault="00FD1597" w:rsidP="00003D73"/>
    <w:p w14:paraId="1ADF379E" w14:textId="6F050E01" w:rsidR="0037794A" w:rsidRPr="00FD1597" w:rsidRDefault="00FD1597" w:rsidP="0037794A">
      <w:r>
        <w:lastRenderedPageBreak/>
        <w:t xml:space="preserve">Outside of the traditional concept of a composite interview, I would like to make transparent that a composite is not quite as cut and dried as it may seem. </w:t>
      </w:r>
      <w:r w:rsidR="0037794A" w:rsidRPr="00FD1597">
        <w:t xml:space="preserve">But it’s important to note that a project spanning so many years of my professional life could not be neatly separated from other areas of my scholarship, networking, and professional conversations. Thus, I cannot separate parts of the composite interviews from my own experiential knowledge </w:t>
      </w:r>
      <w:r w:rsidR="000C4F8E" w:rsidRPr="00FD1597">
        <w:t xml:space="preserve">gleaned from conversations that were not designed as interviews, but added dimensions and depth to my understanding of programs. </w:t>
      </w:r>
    </w:p>
    <w:p w14:paraId="4B7F922D" w14:textId="77777777" w:rsidR="0037794A" w:rsidRDefault="0037794A" w:rsidP="0037794A">
      <w:pPr>
        <w:rPr>
          <w:highlight w:val="yellow"/>
        </w:rPr>
      </w:pPr>
    </w:p>
    <w:p w14:paraId="533B1D17" w14:textId="62FF8089" w:rsidR="00FD1597" w:rsidRDefault="000C4F8E" w:rsidP="00FD1597">
      <w:r w:rsidRPr="00601364">
        <w:t xml:space="preserve">Researchers across disciplines, and in TPC in particular, have not adequately discussed </w:t>
      </w:r>
      <w:r>
        <w:t xml:space="preserve">and described how to account for this sort of issue. </w:t>
      </w:r>
      <w:r w:rsidR="00603331">
        <w:t xml:space="preserve">The overlap of </w:t>
      </w:r>
      <w:r w:rsidR="007809A5">
        <w:t xml:space="preserve">research </w:t>
      </w:r>
      <w:r w:rsidR="00603331">
        <w:t xml:space="preserve">projects and the fact that every formal interview I have conducted </w:t>
      </w:r>
      <w:r w:rsidR="007809A5">
        <w:t xml:space="preserve">in other studies </w:t>
      </w:r>
      <w:r w:rsidR="00603331">
        <w:t xml:space="preserve">garnered insights and deeper understanding into this project. </w:t>
      </w:r>
      <w:r w:rsidR="00FD1597">
        <w:t xml:space="preserve">For example, qualitative comments from an administrator’s survey I did years ago (as part of a pilot study, </w:t>
      </w:r>
      <w:r w:rsidR="0054338F">
        <w:t>Melonçon</w:t>
      </w:r>
      <w:r w:rsidR="00FD1597">
        <w:t xml:space="preserve">, </w:t>
      </w:r>
      <w:r w:rsidR="0054338F">
        <w:t>et al.</w:t>
      </w:r>
      <w:r w:rsidR="00FD1597">
        <w:t xml:space="preserve">, 2016) </w:t>
      </w:r>
      <w:r w:rsidR="0054338F">
        <w:t>influenced</w:t>
      </w:r>
      <w:r w:rsidR="00FD1597">
        <w:t xml:space="preserve"> not only questions I asked in subsequent interviews, but also how I viewed information. Here is another example. I was conducting a formal interview in the lobby at a conference. My interviewee and I were toward the end of our conversation when someone we both knew came up. We mentioned we were finishing up an interview about programmatic work, which then started a whole new (and related) conversation about programmatic work. How does one separate the information from those two conversations? Particularly, keeping in mind that the IRB under which interviews are covered is an exempt project needing no oversight. </w:t>
      </w:r>
    </w:p>
    <w:p w14:paraId="7B237BF4" w14:textId="77777777" w:rsidR="00FD1597" w:rsidRDefault="00FD1597" w:rsidP="00FD1597"/>
    <w:p w14:paraId="7ECECFE4" w14:textId="21D47A57" w:rsidR="00603331" w:rsidRPr="00FD1597" w:rsidRDefault="00603331" w:rsidP="00003D73">
      <w:r>
        <w:t>Further, those generative conversations that happen spontaneously at conferences</w:t>
      </w:r>
      <w:r w:rsidR="00FD1597">
        <w:t xml:space="preserve"> or in the hallways of our office buildings</w:t>
      </w:r>
      <w:r>
        <w:t xml:space="preserve">, or in the administrators’ roundtable at CPTSC, all </w:t>
      </w:r>
      <w:r w:rsidR="007809A5">
        <w:t>added to my understanding of TPC programs that then influenced subsequent conversations and analysis</w:t>
      </w:r>
      <w:r>
        <w:t xml:space="preserve">. They all broadened and deepened my own understanding about programs and courses and the design and maintenance of both. Researchers have little guidance on how to </w:t>
      </w:r>
      <w:r w:rsidRPr="00113927">
        <w:t>account for this kind of tacit, everyday knowledge that</w:t>
      </w:r>
      <w:r>
        <w:t xml:space="preserve"> is gained through both formal research and through simply doing the job of faculty. It was the practice of research that led me to the method of composite interviews. </w:t>
      </w:r>
      <w:r w:rsidR="00021D79">
        <w:t>M</w:t>
      </w:r>
      <w:r>
        <w:t>y solution at this moment is to simply talk about it out loud (or in print) and to draw attention to the need for more discussions—formal and informal—about navigating research practice.</w:t>
      </w:r>
    </w:p>
    <w:p w14:paraId="151984DC" w14:textId="77777777" w:rsidR="00FD1597" w:rsidRDefault="000B2BDD" w:rsidP="00FD1597">
      <w:pPr>
        <w:pStyle w:val="Heading2"/>
      </w:pPr>
      <w:r w:rsidRPr="002B33F9">
        <w:t>Limitations</w:t>
      </w:r>
      <w:r>
        <w:t xml:space="preserve"> to scope</w:t>
      </w:r>
    </w:p>
    <w:p w14:paraId="33ADCEDF" w14:textId="212149D0" w:rsidR="000B2BDD" w:rsidRDefault="000B2BDD" w:rsidP="00490F5D">
      <w:pPr>
        <w:ind w:firstLine="720"/>
      </w:pPr>
      <w:r>
        <w:t xml:space="preserve">Most importantly, classification limits what to include. For this project, the classification boundaries were more to make the project manageable, and there is an understanding that “data is a form of information that seems always to be in motion, difficult to fix in static form” (Borgman, 2015, p. 33) and that is particularly true for degree programs in higher education. </w:t>
      </w:r>
    </w:p>
    <w:p w14:paraId="2DE61A67" w14:textId="1C0C0364" w:rsidR="000B2BDD" w:rsidRDefault="000B2BDD" w:rsidP="000B2BDD">
      <w:pPr>
        <w:ind w:firstLine="720"/>
      </w:pPr>
      <w:r>
        <w:t xml:space="preserve">Thus, I do not claim that the numbers and schools provided here are comprehensive. I strongly believe there are more schools with degree offerings, particularly at the undergraduate level, than what I have gathered. </w:t>
      </w:r>
      <w:r w:rsidR="0054338F">
        <w:t xml:space="preserve">Not to mention the variations in the way inter-raters interpreted programs. </w:t>
      </w:r>
      <w:r>
        <w:t xml:space="preserve">As I have learned over the course of this project, programs are always in process—being started, updated, expanded, </w:t>
      </w:r>
      <w:r>
        <w:lastRenderedPageBreak/>
        <w:t>contracted, and eliminated. The information presented here also contains some noticeable gaps:</w:t>
      </w:r>
    </w:p>
    <w:p w14:paraId="6F8FAFA4" w14:textId="77777777" w:rsidR="000B2BDD" w:rsidRDefault="000B2BDD" w:rsidP="000B2BDD">
      <w:pPr>
        <w:pStyle w:val="ListParagraph"/>
        <w:numPr>
          <w:ilvl w:val="0"/>
          <w:numId w:val="10"/>
        </w:numPr>
      </w:pPr>
      <w:r>
        <w:t xml:space="preserve">Kept the focus on US programs.  </w:t>
      </w:r>
      <w:r>
        <w:br/>
        <w:t xml:space="preserve">While I do have data on international programs, there was no way to do justice to those programs at the same time. That is for another time.   </w:t>
      </w:r>
    </w:p>
    <w:p w14:paraId="4785C4B9" w14:textId="77777777" w:rsidR="00DC3030" w:rsidRDefault="000B2BDD" w:rsidP="000B2BDD">
      <w:pPr>
        <w:pStyle w:val="ListParagraph"/>
        <w:numPr>
          <w:ilvl w:val="0"/>
          <w:numId w:val="10"/>
        </w:numPr>
      </w:pPr>
      <w:r>
        <w:t>Omitted for-profit colleges.</w:t>
      </w:r>
      <w:r>
        <w:br/>
        <w:t xml:space="preserve">Although some for-profit institutions offer degrees or certificates in TPC, I omitted them to keep the focus on traditional programs where programs and curriculum data were easier to verify. This omission also coincides with the troublesome nature of the for-profit market—lower ed—beautifully and persuasively argued by Tressie McMillan </w:t>
      </w:r>
      <w:r w:rsidRPr="00A86D07">
        <w:t>Cottom (</w:t>
      </w:r>
      <w:r w:rsidR="00A86D07" w:rsidRPr="00A86D07">
        <w:t>2018</w:t>
      </w:r>
      <w:r w:rsidRPr="00A86D07">
        <w:t>)</w:t>
      </w:r>
      <w:r w:rsidR="00DC3030">
        <w:t>.</w:t>
      </w:r>
    </w:p>
    <w:p w14:paraId="468A30B7" w14:textId="35F7287A" w:rsidR="000B2BDD" w:rsidRDefault="00DC3030" w:rsidP="000B2BDD">
      <w:pPr>
        <w:pStyle w:val="ListParagraph"/>
        <w:numPr>
          <w:ilvl w:val="0"/>
          <w:numId w:val="10"/>
        </w:numPr>
      </w:pPr>
      <w:r>
        <w:t>Separated out PhD programs</w:t>
      </w:r>
      <w:r>
        <w:br/>
      </w:r>
      <w:r w:rsidR="002B5256">
        <w:t>Since so few PhD programs actually carry technical or professional communication in their title, there were more difficulties in determining how to work through PhD program data. TPC specializations often show up in dissertations and that also adds a layer of difficulty. Thus, I opted not to include that data in this project and am working on it separately as it more directly aligns with an argument about how we train graduate students to move into faculty roles</w:t>
      </w:r>
      <w:r w:rsidR="00490F5D">
        <w:t xml:space="preserve"> or to prepare students for positions outside of higher education. </w:t>
      </w:r>
      <w:r w:rsidR="002B5256">
        <w:t xml:space="preserve"> </w:t>
      </w:r>
      <w:r w:rsidR="000B2BDD">
        <w:t xml:space="preserve"> </w:t>
      </w:r>
    </w:p>
    <w:p w14:paraId="3E7BC468" w14:textId="77777777" w:rsidR="000B2BDD" w:rsidRDefault="000B2BDD" w:rsidP="000B2BDD"/>
    <w:p w14:paraId="2D2AA126" w14:textId="41ACE58A" w:rsidR="000B2BDD" w:rsidRDefault="0054338F" w:rsidP="000B2BDD">
      <w:r>
        <w:t xml:space="preserve">As I noted previously, I was fortunate enough to have research assistants in the latter stages of this project, but </w:t>
      </w:r>
      <w:r w:rsidR="00490F5D">
        <w:t xml:space="preserve">I did </w:t>
      </w:r>
      <w:r>
        <w:t xml:space="preserve">the final </w:t>
      </w:r>
      <w:r w:rsidR="00490F5D">
        <w:t xml:space="preserve">data </w:t>
      </w:r>
      <w:r>
        <w:t xml:space="preserve">verification in </w:t>
      </w:r>
      <w:r w:rsidR="00A15C81">
        <w:t xml:space="preserve">late </w:t>
      </w:r>
      <w:r>
        <w:t>Fall, 2023</w:t>
      </w:r>
      <w:r w:rsidR="00A15C81">
        <w:t xml:space="preserve"> and into Spring 2024</w:t>
      </w:r>
      <w:r>
        <w:t xml:space="preserve">. At that time, I verified all the questions the research assistants had noted, </w:t>
      </w:r>
      <w:r w:rsidR="00CD43B3">
        <w:t>confirmed that every program existed and whether it was online or not</w:t>
      </w:r>
      <w:r>
        <w:t xml:space="preserve">, and </w:t>
      </w:r>
      <w:r w:rsidR="00490F5D">
        <w:t xml:space="preserve">I </w:t>
      </w:r>
      <w:r>
        <w:t xml:space="preserve">also added some </w:t>
      </w:r>
      <w:r w:rsidR="00CD43B3">
        <w:t>6</w:t>
      </w:r>
      <w:r>
        <w:t xml:space="preserve">0 programs. This last verification of the data took me around 80 hours </w:t>
      </w:r>
      <w:r>
        <w:rPr>
          <w:i/>
          <w:iCs/>
        </w:rPr>
        <w:t xml:space="preserve">before </w:t>
      </w:r>
      <w:r>
        <w:t xml:space="preserve">I even started the analysis </w:t>
      </w:r>
      <w:r w:rsidR="00DD1089">
        <w:t xml:space="preserve">and coding </w:t>
      </w:r>
      <w:r>
        <w:t>of the data.</w:t>
      </w:r>
      <w:r w:rsidR="00FF7BE7">
        <w:t xml:space="preserve"> </w:t>
      </w:r>
      <w:r>
        <w:t>While we (the research assistants and I) worked hard to make the data as accurate as possible, I have no doubt errors remain</w:t>
      </w:r>
      <w:r w:rsidR="00FF7BE7">
        <w:t xml:space="preserve"> or recent updates by programs may not have been captured</w:t>
      </w:r>
      <w:r>
        <w:t xml:space="preserve">. I </w:t>
      </w:r>
      <w:r w:rsidR="000B2BDD">
        <w:t>will apologize in advance for any errors or omissions, and I</w:t>
      </w:r>
      <w:r w:rsidR="00603331">
        <w:t>,</w:t>
      </w:r>
      <w:r w:rsidR="000B2BDD">
        <w:t xml:space="preserve"> </w:t>
      </w:r>
      <w:r w:rsidR="000E2AC6">
        <w:t>alone</w:t>
      </w:r>
      <w:r w:rsidR="00603331">
        <w:t>,</w:t>
      </w:r>
      <w:r w:rsidR="000B2BDD">
        <w:t xml:space="preserve"> bear the </w:t>
      </w:r>
      <w:r w:rsidR="00A15C81">
        <w:t xml:space="preserve">sole </w:t>
      </w:r>
      <w:r w:rsidR="000B2BDD">
        <w:t xml:space="preserve">burden for any unintentional misrepresentations. </w:t>
      </w:r>
    </w:p>
    <w:p w14:paraId="39664B3C" w14:textId="77777777" w:rsidR="00815FFA" w:rsidRDefault="00815FFA" w:rsidP="000B2BDD"/>
    <w:p w14:paraId="3BF339C9" w14:textId="354B2EE8" w:rsidR="00815FFA" w:rsidRDefault="00815FFA" w:rsidP="000B2BDD">
      <w:r>
        <w:t xml:space="preserve">In Chapter 1, I discussed “why a curricular history?” and here I want to </w:t>
      </w:r>
      <w:r w:rsidR="00DD1089">
        <w:t>emphasize</w:t>
      </w:r>
      <w:r>
        <w:t xml:space="preserve"> what a curricular history won’t do. As a project that looks at programs, their requirements, and courses, this book is not a project that will enter into arguments about what the field is or what it should be. While I do make the claim throughout this introduction and book that degree programs are a key component to a field’s identity and do reflect what the field values, readers need to recognize that the data—no matter how much of it there is—has limitations. For example, course descriptions can only give institutional insights into what courses should be doing, even if I have additional information from faculty interviews or course materials. Too often readers want the data to do more than it can</w:t>
      </w:r>
      <w:r w:rsidR="00DD1089">
        <w:t xml:space="preserve"> (as </w:t>
      </w:r>
      <w:r w:rsidR="00A15C81">
        <w:t xml:space="preserve">seen in </w:t>
      </w:r>
      <w:r w:rsidR="00DD1089">
        <w:t>the numerous peer reviews I have received over the years)</w:t>
      </w:r>
      <w:r>
        <w:t>, and it’s important to go into reading the text knowing that I didn’t refuse to make analytic leaps</w:t>
      </w:r>
      <w:r w:rsidR="00CD43B3">
        <w:t>. R</w:t>
      </w:r>
      <w:r>
        <w:t>ather, most often, the data prohibited more than a general analysis</w:t>
      </w:r>
      <w:r w:rsidR="00CA4BA4">
        <w:t xml:space="preserve"> and interpretation.</w:t>
      </w:r>
    </w:p>
    <w:p w14:paraId="3C708821" w14:textId="44233CF8" w:rsidR="006E5145" w:rsidRDefault="006E5145" w:rsidP="006E5145"/>
    <w:p w14:paraId="31C1FD2B" w14:textId="1BEA2619" w:rsidR="008144C1" w:rsidRDefault="006E5145" w:rsidP="009E378B">
      <w:pPr>
        <w:pStyle w:val="Heading1"/>
      </w:pPr>
      <w:r>
        <w:lastRenderedPageBreak/>
        <w:t>Practices</w:t>
      </w:r>
    </w:p>
    <w:p w14:paraId="3314A3A2" w14:textId="2FFF0144" w:rsidR="00780DB7" w:rsidRPr="0016080E" w:rsidRDefault="00780DB7" w:rsidP="0016080E">
      <w:pPr>
        <w:autoSpaceDE w:val="0"/>
        <w:autoSpaceDN w:val="0"/>
        <w:adjustRightInd w:val="0"/>
        <w:rPr>
          <w:rFonts w:cs="Times New Roman"/>
          <w:sz w:val="20"/>
          <w:szCs w:val="20"/>
        </w:rPr>
      </w:pPr>
      <w:r>
        <w:t>In some ways it is an artificial to separate methodology, methods, and practices. It is particularly true with the discussion of practice. I take practice “</w:t>
      </w:r>
      <w:r w:rsidR="008144C1" w:rsidRPr="00780DB7">
        <w:t>to mean the actual work and implementation of methods and methodology</w:t>
      </w:r>
      <w:r w:rsidRPr="00780DB7">
        <w:t xml:space="preserve"> </w:t>
      </w:r>
      <w:r w:rsidR="008144C1" w:rsidRPr="00780DB7">
        <w:t>in the process of performing research</w:t>
      </w:r>
      <w:r w:rsidRPr="00780DB7">
        <w:t>” (</w:t>
      </w:r>
      <w:r>
        <w:t>M</w:t>
      </w:r>
      <w:r w:rsidR="008144C1" w:rsidRPr="00780DB7">
        <w:t>elon</w:t>
      </w:r>
      <w:r w:rsidRPr="00780DB7">
        <w:t>ç</w:t>
      </w:r>
      <w:r w:rsidR="008144C1" w:rsidRPr="00780DB7">
        <w:t xml:space="preserve">on </w:t>
      </w:r>
      <w:r w:rsidRPr="00780DB7">
        <w:t>&amp; S</w:t>
      </w:r>
      <w:r w:rsidR="008144C1" w:rsidRPr="00780DB7">
        <w:t>t.</w:t>
      </w:r>
      <w:r w:rsidRPr="00780DB7">
        <w:t>A</w:t>
      </w:r>
      <w:r w:rsidR="008144C1" w:rsidRPr="00780DB7">
        <w:t>mant</w:t>
      </w:r>
      <w:r w:rsidRPr="00780DB7">
        <w:t>, 2019, p.</w:t>
      </w:r>
      <w:r w:rsidR="008144C1" w:rsidRPr="00780DB7">
        <w:t>13</w:t>
      </w:r>
      <w:r w:rsidRPr="00780DB7">
        <w:t>1)</w:t>
      </w:r>
      <w:r>
        <w:t xml:space="preserve">. As the whole of research study design, methodologies, methods, and practices come together and overlap, and the iteration needed in research—especially a longitudinal study—show the difficulty in trying to talk about them separately. For what happens during the </w:t>
      </w:r>
      <w:r>
        <w:rPr>
          <w:i/>
          <w:iCs/>
        </w:rPr>
        <w:t>practice</w:t>
      </w:r>
      <w:r>
        <w:t xml:space="preserve"> of research will likely impact and shape the methodology and methods. But for the longest time, I had conceived of this chapter as one where I did break down the parts in an effort to not only understand the evolution for myself, but more so, to make transparent the thinking behind how the research study came to be and evolved. </w:t>
      </w:r>
    </w:p>
    <w:p w14:paraId="7031303E" w14:textId="2A14A8AB" w:rsidR="00780DB7" w:rsidRDefault="00780DB7" w:rsidP="008144C1"/>
    <w:p w14:paraId="58728AB2" w14:textId="419FC098" w:rsidR="00652DE9" w:rsidRDefault="006E5145" w:rsidP="00652DE9">
      <w:r>
        <w:t xml:space="preserve">It’s important to describe the entire process not only in the understanding and depth it provides to this </w:t>
      </w:r>
      <w:r w:rsidR="00780DB7">
        <w:t>project</w:t>
      </w:r>
      <w:r>
        <w:t xml:space="preserve">, but it is useful for the field to have more rich </w:t>
      </w:r>
      <w:r w:rsidR="00780DB7">
        <w:t>descriptions</w:t>
      </w:r>
      <w:r>
        <w:t xml:space="preserve"> of the practice of research</w:t>
      </w:r>
      <w:r w:rsidR="00780DB7">
        <w:t xml:space="preserve"> (</w:t>
      </w:r>
      <w:r w:rsidR="00603331">
        <w:t>e.g.,</w:t>
      </w:r>
      <w:r w:rsidR="00780DB7">
        <w:t xml:space="preserve"> </w:t>
      </w:r>
      <w:r w:rsidR="00780DB7" w:rsidRPr="00603331">
        <w:t>Grabill</w:t>
      </w:r>
      <w:r w:rsidR="00603331" w:rsidRPr="00603331">
        <w:t>, 2006</w:t>
      </w:r>
      <w:r w:rsidR="00603331">
        <w:t>)</w:t>
      </w:r>
      <w:r w:rsidR="00645C01">
        <w:t>.</w:t>
      </w:r>
      <w:r w:rsidR="00780DB7">
        <w:t xml:space="preserve"> </w:t>
      </w:r>
      <w:r w:rsidR="00652DE9">
        <w:t>I’ve long been interested in the idea of research practice. Since I really learned research on the job as a consultant before I ever took a formal research course in grad</w:t>
      </w:r>
      <w:r w:rsidR="00780DB7">
        <w:t>uate</w:t>
      </w:r>
      <w:r w:rsidR="00652DE9">
        <w:t xml:space="preserve"> school, I have always been intrigued about how research is taught. The more academic views I read, the more I wanted to understand better the nuances and ethics of research practice. Faber (2002) describes ethics as “a self-conscious discourse about values, conduct, and what is perceived to be proper actions” (</w:t>
      </w:r>
      <w:r w:rsidR="002F21D4">
        <w:t xml:space="preserve">p. </w:t>
      </w:r>
      <w:r w:rsidR="00652DE9">
        <w:t>287). This intersects for me with Grabill’s (2006) call to come to grips with “agency at the research scene” (p.166). Agency at the research scene is (should be) driven by an ethical consideration. It gets complicated w</w:t>
      </w:r>
      <w:r w:rsidR="000A7E10">
        <w:t xml:space="preserve">hen </w:t>
      </w:r>
      <w:r w:rsidR="00652DE9">
        <w:t>decisions are clouded because of the angst of the research itself.</w:t>
      </w:r>
    </w:p>
    <w:p w14:paraId="4FADD771" w14:textId="77777777" w:rsidR="000A7E10" w:rsidRDefault="000A7E10" w:rsidP="00652DE9"/>
    <w:p w14:paraId="20DF4149" w14:textId="645E20E0" w:rsidR="000A7E10" w:rsidRDefault="00652DE9" w:rsidP="00652DE9">
      <w:r>
        <w:t xml:space="preserve">As I started to consider </w:t>
      </w:r>
      <w:r w:rsidR="000C37B8">
        <w:t>“</w:t>
      </w:r>
      <w:r>
        <w:t>affective investment</w:t>
      </w:r>
      <w:r w:rsidR="000C37B8">
        <w:t>”</w:t>
      </w:r>
      <w:r>
        <w:t xml:space="preserve"> </w:t>
      </w:r>
      <w:r w:rsidR="000A7E10">
        <w:t xml:space="preserve">(Wilson et al., 2020) </w:t>
      </w:r>
      <w:r>
        <w:t>specifically f</w:t>
      </w:r>
      <w:r w:rsidR="00421245">
        <w:t>or</w:t>
      </w:r>
      <w:r>
        <w:t xml:space="preserve"> research practice, I began to see how it intersects with and extends in necessary ways other movements and attempts at expanding research methodologies, methods, and practices in ways that are consistently kind, ethical, and considerate of research participants (even if they are texts.). Adding affective investment to feminist orientations (as one example) can ensure that researchers can move beyond simple “procedural utility” and instead realize that the research practice is knowledge producing (Grabill, 2006, p. 166)</w:t>
      </w:r>
      <w:r w:rsidR="000A7E10">
        <w:t xml:space="preserve"> in and of itself.</w:t>
      </w:r>
    </w:p>
    <w:p w14:paraId="43721B57" w14:textId="0B8F9EF7" w:rsidR="0077070E" w:rsidRDefault="0077070E" w:rsidP="00652DE9"/>
    <w:p w14:paraId="3B52F163" w14:textId="1DC4F914" w:rsidR="001F18E5" w:rsidRDefault="0077070E" w:rsidP="00652DE9">
      <w:r>
        <w:t xml:space="preserve">Recalling the bulleted list at the beginning of this chapter is a good place to start in connecting scholarly views of research practice with the actual practice of research. That list marks specific moments in the research trajectory. My project that was just going to be about masters’ degrees morphed into something that took on a life of its own. The practice of expanding the </w:t>
      </w:r>
      <w:r w:rsidR="00645C01">
        <w:t xml:space="preserve">research </w:t>
      </w:r>
      <w:r>
        <w:t xml:space="preserve">boundaries—from one type of degree to all of them—aligned with expanding the types of questions that I was asking, while also deepening the rationale and justification for what programmatic research can do for TPC. </w:t>
      </w:r>
      <w:r w:rsidR="002C085E">
        <w:t>For example, field-wide did not appear in my first research on programs (2009), and it wasn’t until working with two PhD students</w:t>
      </w:r>
      <w:r w:rsidR="002C085E">
        <w:rPr>
          <w:rStyle w:val="FootnoteReference"/>
        </w:rPr>
        <w:footnoteReference w:id="30"/>
      </w:r>
      <w:r w:rsidR="002C085E">
        <w:t xml:space="preserve"> that I realized I had not ever defined “field-wide,” </w:t>
      </w:r>
      <w:r w:rsidR="002C085E">
        <w:lastRenderedPageBreak/>
        <w:t xml:space="preserve">which is such a vital component of my programmatic research. The definition in </w:t>
      </w:r>
      <w:r w:rsidR="00601364">
        <w:t>C</w:t>
      </w:r>
      <w:r w:rsidR="002C085E">
        <w:t xml:space="preserve">hapter 1 is the first time I have ever articulated a definition and </w:t>
      </w:r>
      <w:r w:rsidR="001F18E5">
        <w:t>explained the importance to TPC.</w:t>
      </w:r>
    </w:p>
    <w:p w14:paraId="2ED0618E" w14:textId="77777777" w:rsidR="001F18E5" w:rsidRDefault="001F18E5" w:rsidP="00652DE9"/>
    <w:p w14:paraId="2AE9B6B0" w14:textId="75DB95D3" w:rsidR="001F18E5" w:rsidRDefault="001F18E5" w:rsidP="00652DE9">
      <w:r>
        <w:t>Another key example of why we need to talk about the practice of research more is in relation to the composit</w:t>
      </w:r>
      <w:r w:rsidR="00603331">
        <w:t>e</w:t>
      </w:r>
      <w:r>
        <w:t xml:space="preserve"> interviews used in this project. </w:t>
      </w:r>
      <w:r w:rsidR="0077070E">
        <w:t xml:space="preserve">It was not until a good five years </w:t>
      </w:r>
      <w:r>
        <w:t xml:space="preserve">(ca. 2011) </w:t>
      </w:r>
      <w:r w:rsidR="0077070E">
        <w:t>into the project that feedback from TPC PAs in the administrators</w:t>
      </w:r>
      <w:r w:rsidR="002C085E">
        <w:t>’</w:t>
      </w:r>
      <w:r w:rsidR="0077070E">
        <w:t xml:space="preserve"> roundtable </w:t>
      </w:r>
      <w:r w:rsidR="002C085E">
        <w:t>at CPTSC</w:t>
      </w:r>
      <w:r>
        <w:t>’</w:t>
      </w:r>
      <w:r w:rsidR="002C085E">
        <w:t xml:space="preserve">s annual conference </w:t>
      </w:r>
      <w:r w:rsidR="0077070E">
        <w:t xml:space="preserve">encouraged me to start doing interviews. </w:t>
      </w:r>
      <w:r w:rsidR="00A21BD6">
        <w:t>The general consensus of that</w:t>
      </w:r>
      <w:r w:rsidR="00160871">
        <w:t xml:space="preserve"> event was interviews would add additional context of the local alongside the field-wide data</w:t>
      </w:r>
      <w:r>
        <w:t xml:space="preserve">, as well as add a dimension to what others thought </w:t>
      </w:r>
      <w:r w:rsidR="002B0FA9">
        <w:t xml:space="preserve">of </w:t>
      </w:r>
      <w:r>
        <w:t>programmatic work</w:t>
      </w:r>
      <w:r w:rsidR="00160871">
        <w:t>.</w:t>
      </w:r>
      <w:r>
        <w:t xml:space="preserve"> I</w:t>
      </w:r>
      <w:r w:rsidR="0077070E">
        <w:t>nterviewing faculty for this project was never as systematic as</w:t>
      </w:r>
    </w:p>
    <w:p w14:paraId="273ED9F8" w14:textId="34669D5F" w:rsidR="00244BCB" w:rsidRDefault="0077070E" w:rsidP="00652DE9">
      <w:pPr>
        <w:rPr>
          <w:iCs/>
        </w:rPr>
      </w:pPr>
      <w:r>
        <w:t xml:space="preserve">the gathering of the data. The reason for that is multiple. As you may see from my publication history, I have </w:t>
      </w:r>
      <w:r w:rsidR="001F18E5">
        <w:t xml:space="preserve">had </w:t>
      </w:r>
      <w:r>
        <w:t>multiple projects happening at the same time</w:t>
      </w:r>
      <w:r w:rsidR="001F18E5">
        <w:t xml:space="preserve">, and it is not uncommon for those to overlap. For example, interviews </w:t>
      </w:r>
      <w:r w:rsidR="001F18E5">
        <w:rPr>
          <w:iCs/>
        </w:rPr>
        <w:t>I conducted about capstone courses (2018) provided key information into larger program goals, particularly around issues of course integration throughout the program. I could find no guidance in the TPC (or in writing studies) literature for a best approach for this sort of messiness, from explaining it to accounting for it</w:t>
      </w:r>
      <w:r w:rsidR="00A760F1">
        <w:rPr>
          <w:iCs/>
        </w:rPr>
        <w:t xml:space="preserve"> in the more formal way </w:t>
      </w:r>
      <w:r w:rsidR="00421245">
        <w:rPr>
          <w:iCs/>
        </w:rPr>
        <w:t>such as in c</w:t>
      </w:r>
      <w:r w:rsidR="00A760F1">
        <w:rPr>
          <w:iCs/>
        </w:rPr>
        <w:t>ounting the number of interviewees.</w:t>
      </w:r>
      <w:r w:rsidR="00734029">
        <w:rPr>
          <w:iCs/>
        </w:rPr>
        <w:t xml:space="preserve"> </w:t>
      </w:r>
    </w:p>
    <w:p w14:paraId="7866F4AD" w14:textId="7D7AF3FC" w:rsidR="00517ABD" w:rsidRDefault="00517ABD" w:rsidP="00517ABD">
      <w:pPr>
        <w:pStyle w:val="Heading2"/>
      </w:pPr>
      <w:r>
        <w:t>Institutional and Situational Ethics</w:t>
      </w:r>
    </w:p>
    <w:p w14:paraId="6110322E" w14:textId="6BAD7693" w:rsidR="002F0AB5" w:rsidRDefault="00861518" w:rsidP="002F0AB5">
      <w:r>
        <w:t xml:space="preserve">A key aspect of research practice is the issue of ethics. When a research study design interacts with people, researchers </w:t>
      </w:r>
      <w:r w:rsidR="002F13AB">
        <w:t>must</w:t>
      </w:r>
      <w:r>
        <w:t xml:space="preserve"> work through the process of institutional ethics, </w:t>
      </w:r>
      <w:r w:rsidR="002F13AB">
        <w:t>with their</w:t>
      </w:r>
      <w:r>
        <w:t xml:space="preserve"> institutional review boards (IRB). </w:t>
      </w:r>
      <w:r w:rsidR="00645C01">
        <w:t xml:space="preserve">This project has spanned two institutions (University of Cincinnati (UC) and University of South Florida (USF)), and thus, two IRBs. </w:t>
      </w:r>
      <w:r w:rsidR="002F0AB5" w:rsidRPr="00F661F4">
        <w:t>All of the protocols at USF were deemed “not research” and exempt from IRB oversight. The three projects cover conversations with administrators and faculty in TPC programs, gathering of curricular materials, and surveys (and opt in inte</w:t>
      </w:r>
      <w:r w:rsidR="002F0AB5">
        <w:t>r</w:t>
      </w:r>
      <w:r w:rsidR="002F0AB5" w:rsidRPr="00F661F4">
        <w:t>views) for contingent faculty.</w:t>
      </w:r>
      <w:r w:rsidR="002F0AB5">
        <w:t xml:space="preserve"> </w:t>
      </w:r>
    </w:p>
    <w:p w14:paraId="70EF07C0" w14:textId="40F9DADD" w:rsidR="00861518" w:rsidRPr="00861518" w:rsidRDefault="00861518" w:rsidP="00861518">
      <w:r>
        <w:t>Following are the IRB protocols that cover the full scope of this project:</w:t>
      </w:r>
    </w:p>
    <w:p w14:paraId="7EB91357" w14:textId="23441085" w:rsidR="002119A6" w:rsidRDefault="002119A6" w:rsidP="00320C00">
      <w:pPr>
        <w:pStyle w:val="ListParagraph"/>
        <w:numPr>
          <w:ilvl w:val="0"/>
          <w:numId w:val="15"/>
        </w:numPr>
      </w:pPr>
      <w:r>
        <w:t>UC</w:t>
      </w:r>
    </w:p>
    <w:p w14:paraId="053A788B" w14:textId="5B4AB350" w:rsidR="002119A6" w:rsidRDefault="0069403D" w:rsidP="00320C00">
      <w:pPr>
        <w:pStyle w:val="ListParagraph"/>
        <w:numPr>
          <w:ilvl w:val="1"/>
          <w:numId w:val="15"/>
        </w:numPr>
      </w:pPr>
      <w:r>
        <w:t xml:space="preserve">Deemed “not research” on 12-2-2010 without </w:t>
      </w:r>
      <w:r w:rsidR="00DC4249">
        <w:t xml:space="preserve">a study </w:t>
      </w:r>
      <w:r>
        <w:t>#</w:t>
      </w:r>
    </w:p>
    <w:p w14:paraId="01932722" w14:textId="6F1810EC" w:rsidR="002119A6" w:rsidRDefault="0069403D" w:rsidP="00320C00">
      <w:pPr>
        <w:pStyle w:val="ListParagraph"/>
        <w:numPr>
          <w:ilvl w:val="1"/>
          <w:numId w:val="15"/>
        </w:numPr>
      </w:pPr>
      <w:r>
        <w:t xml:space="preserve">11-01-20-06E </w:t>
      </w:r>
    </w:p>
    <w:p w14:paraId="2D330ACE" w14:textId="16E48A0A" w:rsidR="002119A6" w:rsidRDefault="0069403D" w:rsidP="00320C00">
      <w:pPr>
        <w:pStyle w:val="ListParagraph"/>
        <w:numPr>
          <w:ilvl w:val="1"/>
          <w:numId w:val="15"/>
        </w:numPr>
      </w:pPr>
      <w:r>
        <w:t xml:space="preserve">10-06-03-02E </w:t>
      </w:r>
    </w:p>
    <w:p w14:paraId="4F3CAFCD" w14:textId="1F5E9F19" w:rsidR="00382461" w:rsidRDefault="00382461" w:rsidP="00320C00">
      <w:pPr>
        <w:pStyle w:val="ListParagraph"/>
        <w:numPr>
          <w:ilvl w:val="0"/>
          <w:numId w:val="15"/>
        </w:numPr>
      </w:pPr>
      <w:r>
        <w:t>USF</w:t>
      </w:r>
    </w:p>
    <w:p w14:paraId="0C0A4273" w14:textId="51A25CB4" w:rsidR="00382461" w:rsidRDefault="003B2D63" w:rsidP="00320C00">
      <w:pPr>
        <w:pStyle w:val="ListParagraph"/>
        <w:numPr>
          <w:ilvl w:val="1"/>
          <w:numId w:val="15"/>
        </w:numPr>
      </w:pPr>
      <w:r>
        <w:t xml:space="preserve">Pro00038267 </w:t>
      </w:r>
    </w:p>
    <w:p w14:paraId="5F977F25" w14:textId="1EB99C00" w:rsidR="00292E96" w:rsidRDefault="003B2D63" w:rsidP="00292E96">
      <w:pPr>
        <w:pStyle w:val="ListParagraph"/>
        <w:numPr>
          <w:ilvl w:val="1"/>
          <w:numId w:val="15"/>
        </w:numPr>
      </w:pPr>
      <w:r>
        <w:t xml:space="preserve">Pro00033052 </w:t>
      </w:r>
    </w:p>
    <w:p w14:paraId="282C9764" w14:textId="0E32514E" w:rsidR="00435635" w:rsidRDefault="00292E96" w:rsidP="00435635">
      <w:pPr>
        <w:pStyle w:val="ListParagraph"/>
        <w:numPr>
          <w:ilvl w:val="1"/>
          <w:numId w:val="15"/>
        </w:numPr>
      </w:pPr>
      <w:r>
        <w:t xml:space="preserve">Pro00033794 </w:t>
      </w:r>
    </w:p>
    <w:p w14:paraId="42DA170A" w14:textId="77777777" w:rsidR="0023594A" w:rsidRDefault="0023594A" w:rsidP="00861518"/>
    <w:p w14:paraId="6F508196" w14:textId="63EAD429" w:rsidR="00861518" w:rsidRDefault="00861518" w:rsidP="00861518">
      <w:r>
        <w:t xml:space="preserve">While </w:t>
      </w:r>
      <w:r w:rsidR="002B0FA9">
        <w:t xml:space="preserve">I </w:t>
      </w:r>
      <w:r>
        <w:t xml:space="preserve">wholeheartedly agree with </w:t>
      </w:r>
      <w:r w:rsidR="00C63C63">
        <w:t xml:space="preserve">Godwin </w:t>
      </w:r>
      <w:proofErr w:type="spellStart"/>
      <w:r>
        <w:t>Agboka</w:t>
      </w:r>
      <w:proofErr w:type="spellEnd"/>
      <w:r>
        <w:t xml:space="preserve"> (2021</w:t>
      </w:r>
      <w:r w:rsidR="00C63C63">
        <w:t>)</w:t>
      </w:r>
      <w:r w:rsidR="00D41898">
        <w:t xml:space="preserve"> </w:t>
      </w:r>
      <w:r>
        <w:t xml:space="preserve">and his critique of “subjects” by IRBs, researchers in the humanities </w:t>
      </w:r>
      <w:r w:rsidR="00C63C63">
        <w:t xml:space="preserve">and social sciences </w:t>
      </w:r>
      <w:r>
        <w:t xml:space="preserve">have long had to </w:t>
      </w:r>
      <w:r w:rsidR="00C63C63">
        <w:t xml:space="preserve">grapple with the limitations of </w:t>
      </w:r>
      <w:r w:rsidR="00D41898">
        <w:t>institutional</w:t>
      </w:r>
      <w:r w:rsidR="00C63C63">
        <w:t xml:space="preserve"> ethical processes and the work that we do.</w:t>
      </w:r>
      <w:r w:rsidR="00320C00">
        <w:t xml:space="preserve"> For example</w:t>
      </w:r>
      <w:r w:rsidR="00D41898">
        <w:t>,</w:t>
      </w:r>
      <w:r w:rsidR="00320C00">
        <w:t xml:space="preserve"> Amy Koerber and colleagues (2018) explained their “IRB problems and solutions” through </w:t>
      </w:r>
      <w:r w:rsidR="0016080E">
        <w:t>experiences based on each of their research projects. Addressing both</w:t>
      </w:r>
      <w:r w:rsidR="00320C00">
        <w:t xml:space="preserve"> </w:t>
      </w:r>
      <w:proofErr w:type="spellStart"/>
      <w:r w:rsidR="00C63C63">
        <w:t>Agboka</w:t>
      </w:r>
      <w:proofErr w:type="spellEnd"/>
      <w:r w:rsidR="0016080E">
        <w:t xml:space="preserve"> and Koerber et </w:t>
      </w:r>
      <w:proofErr w:type="spellStart"/>
      <w:r w:rsidR="0016080E">
        <w:t>al’s</w:t>
      </w:r>
      <w:proofErr w:type="spellEnd"/>
      <w:r w:rsidR="0016080E">
        <w:t xml:space="preserve"> concerns, </w:t>
      </w:r>
      <w:r w:rsidR="00C63C63">
        <w:t>Johanna Phelps (</w:t>
      </w:r>
      <w:r w:rsidR="00734029">
        <w:t>2021)</w:t>
      </w:r>
      <w:r w:rsidR="0016080E">
        <w:t xml:space="preserve"> provided writing studies an </w:t>
      </w:r>
      <w:r w:rsidR="0016080E">
        <w:lastRenderedPageBreak/>
        <w:t xml:space="preserve">approach of engaging with IRBs more directly to improve research study design. </w:t>
      </w:r>
      <w:r w:rsidR="007B31A4">
        <w:t xml:space="preserve">Each study has its own requirements for reporting, or not, back to the IRB, which added a layer of project management to the project. </w:t>
      </w:r>
    </w:p>
    <w:p w14:paraId="1F231466" w14:textId="1FD24DA5" w:rsidR="002119A6" w:rsidRDefault="002119A6" w:rsidP="00517ABD"/>
    <w:p w14:paraId="4D413BDA" w14:textId="6F4B3380" w:rsidR="00FA16E2" w:rsidRDefault="0016080E" w:rsidP="00517ABD">
      <w:r>
        <w:t xml:space="preserve">As Casey Boyle </w:t>
      </w:r>
      <w:r w:rsidR="00FD3388">
        <w:t xml:space="preserve">(2018) </w:t>
      </w:r>
      <w:r>
        <w:t>remind</w:t>
      </w:r>
      <w:r w:rsidR="00BC01EC">
        <w:t>ed</w:t>
      </w:r>
      <w:r>
        <w:t xml:space="preserve"> us, </w:t>
      </w:r>
      <w:r w:rsidRPr="0016080E">
        <w:t xml:space="preserve">“To practice is to ask </w:t>
      </w:r>
      <w:r w:rsidR="00372A16">
        <w:t>‘</w:t>
      </w:r>
      <w:r w:rsidRPr="0016080E">
        <w:t>which one,</w:t>
      </w:r>
      <w:r w:rsidR="00372A16">
        <w:t xml:space="preserve">’ </w:t>
      </w:r>
      <w:r w:rsidRPr="0016080E">
        <w:t>and to ask that question is to enact an e</w:t>
      </w:r>
      <w:r>
        <w:t xml:space="preserve">thic” (p. 192) in the moment. The idea of “in the moment” comes from Gaston Bachelard (2013/1932), and </w:t>
      </w:r>
      <w:r w:rsidR="002F13AB">
        <w:t>along</w:t>
      </w:r>
      <w:r>
        <w:t xml:space="preserve"> with J. Blake Scott and Cathryn Molloy (</w:t>
      </w:r>
      <w:r w:rsidR="00FA16E2">
        <w:t>2020</w:t>
      </w:r>
      <w:r w:rsidR="00F94644">
        <w:t>b</w:t>
      </w:r>
      <w:r>
        <w:t xml:space="preserve">), we use the idea of in the moment to </w:t>
      </w:r>
      <w:r w:rsidR="00396A4D">
        <w:t>discuss</w:t>
      </w:r>
      <w:r>
        <w:t xml:space="preserve"> a situational ethic that is </w:t>
      </w:r>
      <w:r w:rsidR="00986784">
        <w:t xml:space="preserve">often </w:t>
      </w:r>
      <w:r>
        <w:t xml:space="preserve">necessary </w:t>
      </w:r>
      <w:r w:rsidR="00986784">
        <w:t>in</w:t>
      </w:r>
      <w:r>
        <w:t xml:space="preserve"> research practice</w:t>
      </w:r>
      <w:r w:rsidR="00FA16E2">
        <w:t>: “</w:t>
      </w:r>
      <w:r w:rsidRPr="00FA16E2">
        <w:rPr>
          <w:rFonts w:hint="cs"/>
        </w:rPr>
        <w:t xml:space="preserve">Here we similarly want to focus on the instant, particularly in the midst of research practice, and what it means for scholars to examine ethics situationally, but more so, situationally instant by instant. This is a </w:t>
      </w:r>
      <w:proofErr w:type="spellStart"/>
      <w:r w:rsidRPr="00FA16E2">
        <w:rPr>
          <w:rFonts w:hint="cs"/>
        </w:rPr>
        <w:t>kairos</w:t>
      </w:r>
      <w:proofErr w:type="spellEnd"/>
      <w:r w:rsidRPr="00FA16E2">
        <w:rPr>
          <w:rFonts w:hint="cs"/>
        </w:rPr>
        <w:t>-driven approach since it is in the moment that a problem presents itself that exigent ethical moves often become apparent</w:t>
      </w:r>
      <w:r w:rsidR="00FA16E2" w:rsidRPr="00FA16E2">
        <w:t xml:space="preserve">” (p. 431). We go on to argue that an ethical praxis </w:t>
      </w:r>
      <w:proofErr w:type="gramStart"/>
      <w:r w:rsidR="00FA16E2" w:rsidRPr="00FA16E2">
        <w:t>has to</w:t>
      </w:r>
      <w:proofErr w:type="gramEnd"/>
      <w:r w:rsidR="00FA16E2" w:rsidRPr="00FA16E2">
        <w:t xml:space="preserve"> be situational, embodied, and relational, and while part of the relationship starts with </w:t>
      </w:r>
      <w:r w:rsidR="00986784" w:rsidRPr="00FA16E2">
        <w:t xml:space="preserve">institutional </w:t>
      </w:r>
      <w:r w:rsidR="00986784">
        <w:t xml:space="preserve">ethics and </w:t>
      </w:r>
      <w:r w:rsidR="00FA16E2" w:rsidRPr="00FA16E2">
        <w:t xml:space="preserve">the IRB, situational ethics in practice </w:t>
      </w:r>
      <w:r w:rsidR="00986784">
        <w:t xml:space="preserve">are those </w:t>
      </w:r>
      <w:r w:rsidR="00FA16E2">
        <w:t xml:space="preserve">that </w:t>
      </w:r>
      <w:r w:rsidR="00986784">
        <w:t xml:space="preserve">are </w:t>
      </w:r>
      <w:r w:rsidR="00FA16E2">
        <w:t>often drive</w:t>
      </w:r>
      <w:r w:rsidR="00986784">
        <w:t xml:space="preserve">n at in the moment </w:t>
      </w:r>
      <w:r w:rsidR="00FA16E2">
        <w:t xml:space="preserve">with participants. </w:t>
      </w:r>
    </w:p>
    <w:p w14:paraId="13B9BC52" w14:textId="77777777" w:rsidR="00FA16E2" w:rsidRDefault="00FA16E2" w:rsidP="00517ABD"/>
    <w:p w14:paraId="3DF01C4C" w14:textId="1DB7DEE9" w:rsidR="00407ADC" w:rsidRDefault="00FA16E2" w:rsidP="001A3429">
      <w:r>
        <w:t xml:space="preserve">All of this is to say, that the decisions made, even with data, are grounded through my own reflexive and reflective approach to both institutional and situational ethics. I have tried to </w:t>
      </w:r>
      <w:r w:rsidRPr="00FA16E2">
        <w:t xml:space="preserve">be transparent with the decisions I made, and whether one agrees with all the decisions or the approach to practice, at least there is enough information for others </w:t>
      </w:r>
      <w:r w:rsidR="00DD1089">
        <w:t xml:space="preserve">to </w:t>
      </w:r>
      <w:r w:rsidR="00BC01EC">
        <w:t>guide them in their own research.</w:t>
      </w:r>
    </w:p>
    <w:p w14:paraId="591AAB32" w14:textId="0B2F16B0" w:rsidR="004F6089" w:rsidRDefault="004F6089" w:rsidP="004F6089">
      <w:pPr>
        <w:pStyle w:val="Heading2"/>
      </w:pPr>
      <w:r>
        <w:t>Compiling Data</w:t>
      </w:r>
    </w:p>
    <w:p w14:paraId="399EE975" w14:textId="7DBCEB9C" w:rsidR="004F6089" w:rsidRDefault="004F6089" w:rsidP="004F6089">
      <w:r>
        <w:t xml:space="preserve">In the first paragraph of this </w:t>
      </w:r>
      <w:r w:rsidR="007B31A4">
        <w:t>chapter,</w:t>
      </w:r>
      <w:r>
        <w:t xml:space="preserve"> I mention </w:t>
      </w:r>
      <w:r w:rsidR="00BC01EC">
        <w:t xml:space="preserve">how </w:t>
      </w:r>
      <w:r>
        <w:t>time consuming</w:t>
      </w:r>
      <w:r w:rsidR="00BC01EC">
        <w:t xml:space="preserve"> this project was</w:t>
      </w:r>
      <w:r>
        <w:t xml:space="preserve">, as I have (and will) in other places in this book. But I am unsure as to whether readers will really know what I mean by time consuming so let me describe </w:t>
      </w:r>
      <w:r w:rsidR="00BC01EC">
        <w:t xml:space="preserve">further </w:t>
      </w:r>
      <w:r>
        <w:t xml:space="preserve">how the data was compiled in practice. </w:t>
      </w:r>
    </w:p>
    <w:p w14:paraId="49EF094E" w14:textId="77777777" w:rsidR="004F6089" w:rsidRDefault="004F6089" w:rsidP="004F6089"/>
    <w:p w14:paraId="7753FFC6" w14:textId="79A47055" w:rsidR="004F6089" w:rsidRDefault="004F6089" w:rsidP="004F6089">
      <w:r w:rsidRPr="00B71EEC">
        <w:t xml:space="preserve">Many readers will likely have seen Figure </w:t>
      </w:r>
      <w:r w:rsidR="00B71EEC" w:rsidRPr="00B71EEC">
        <w:t>2-1</w:t>
      </w:r>
      <w:r w:rsidRPr="00B71EEC">
        <w:t xml:space="preserve"> or</w:t>
      </w:r>
      <w:r>
        <w:t xml:space="preserve"> some version of it. The painful truth of the figure is that many university websites are difficult to use because of their information architecture, which is bogged down with competing demands and complex use cases. </w:t>
      </w:r>
    </w:p>
    <w:p w14:paraId="40FDC361" w14:textId="77777777" w:rsidR="004F6089" w:rsidRDefault="004F6089" w:rsidP="004F6089"/>
    <w:p w14:paraId="4B445BD3" w14:textId="77777777" w:rsidR="004F6089" w:rsidRDefault="004F6089" w:rsidP="00CA4BA4">
      <w:pPr>
        <w:keepNext/>
        <w:jc w:val="center"/>
      </w:pPr>
      <w:r>
        <w:rPr>
          <w:noProof/>
        </w:rPr>
        <w:lastRenderedPageBreak/>
        <w:drawing>
          <wp:inline distT="0" distB="0" distL="0" distR="0" wp14:anchorId="27AF5847" wp14:editId="212DB33E">
            <wp:extent cx="3186783" cy="2229273"/>
            <wp:effectExtent l="0" t="0" r="1270" b="6350"/>
            <wp:docPr id="3" name="Picture 3"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venn diagram&#10;&#10;Description automatically generated"/>
                    <pic:cNvPicPr/>
                  </pic:nvPicPr>
                  <pic:blipFill>
                    <a:blip r:embed="rId9" cstate="email">
                      <a:extLst>
                        <a:ext uri="{28A0092B-C50C-407E-A947-70E740481C1C}">
                          <a14:useLocalDpi xmlns:a14="http://schemas.microsoft.com/office/drawing/2010/main"/>
                        </a:ext>
                      </a:extLst>
                    </a:blip>
                    <a:stretch>
                      <a:fillRect/>
                    </a:stretch>
                  </pic:blipFill>
                  <pic:spPr>
                    <a:xfrm>
                      <a:off x="0" y="0"/>
                      <a:ext cx="3208244" cy="2244286"/>
                    </a:xfrm>
                    <a:prstGeom prst="rect">
                      <a:avLst/>
                    </a:prstGeom>
                  </pic:spPr>
                </pic:pic>
              </a:graphicData>
            </a:graphic>
          </wp:inline>
        </w:drawing>
      </w:r>
    </w:p>
    <w:p w14:paraId="5522FF24" w14:textId="3F8581E4" w:rsidR="004F6089" w:rsidRDefault="004F6089" w:rsidP="004F6089">
      <w:pPr>
        <w:pStyle w:val="Caption"/>
        <w:jc w:val="left"/>
      </w:pPr>
      <w:r>
        <w:t xml:space="preserve">Figure </w:t>
      </w:r>
      <w:r w:rsidR="00B71EEC">
        <w:t>2-</w:t>
      </w:r>
      <w:fldSimple w:instr=" SEQ Figure \* ARABIC ">
        <w:r w:rsidR="005E4A10">
          <w:rPr>
            <w:noProof/>
          </w:rPr>
          <w:t>1</w:t>
        </w:r>
      </w:fldSimple>
      <w:r>
        <w:t>:</w:t>
      </w:r>
      <w:r w:rsidRPr="004F6089">
        <w:t xml:space="preserve"> </w:t>
      </w:r>
      <w:hyperlink r:id="rId10" w:history="1">
        <w:r w:rsidRPr="00416A3E">
          <w:rPr>
            <w:rStyle w:val="Hyperlink"/>
          </w:rPr>
          <w:t>https://xkcd.com/773/</w:t>
        </w:r>
      </w:hyperlink>
      <w:r>
        <w:t xml:space="preserve"> used in CC attribution-Noncommercial</w:t>
      </w:r>
    </w:p>
    <w:p w14:paraId="0FAF212E" w14:textId="77777777" w:rsidR="004F6089" w:rsidRDefault="004F6089" w:rsidP="004F6089"/>
    <w:p w14:paraId="315FBDC6" w14:textId="3B924463" w:rsidR="007B31A4" w:rsidRDefault="004F6089" w:rsidP="004F6089">
      <w:r>
        <w:t xml:space="preserve">What this means in the practice of </w:t>
      </w:r>
      <w:r w:rsidR="00BC01EC">
        <w:t xml:space="preserve">programmatic </w:t>
      </w:r>
      <w:r>
        <w:t xml:space="preserve">research is that having </w:t>
      </w:r>
      <w:r w:rsidR="009A6416">
        <w:t>to</w:t>
      </w:r>
      <w:r>
        <w:t xml:space="preserve"> use university websites as </w:t>
      </w:r>
      <w:r w:rsidR="00BC01EC">
        <w:t>a primary source</w:t>
      </w:r>
      <w:r>
        <w:t xml:space="preserve"> of research </w:t>
      </w:r>
      <w:r w:rsidR="00BC01EC">
        <w:t xml:space="preserve">data </w:t>
      </w:r>
      <w:r>
        <w:t>is painful and difficult. In my collaborative work on contingent faculty (</w:t>
      </w:r>
      <w:r w:rsidR="00601364" w:rsidRPr="00601364">
        <w:t>Melonçon</w:t>
      </w:r>
      <w:r w:rsidRPr="00601364">
        <w:t xml:space="preserve"> et al</w:t>
      </w:r>
      <w:r w:rsidR="00601364" w:rsidRPr="00601364">
        <w:t>., 2020a</w:t>
      </w:r>
      <w:r w:rsidRPr="00601364">
        <w:t>),</w:t>
      </w:r>
      <w:r>
        <w:t xml:space="preserve"> we described the hours it took to locate university faculty</w:t>
      </w:r>
      <w:r w:rsidR="00BC01EC">
        <w:t xml:space="preserve">. </w:t>
      </w:r>
      <w:proofErr w:type="gramStart"/>
      <w:r w:rsidR="00BC01EC">
        <w:t>S</w:t>
      </w:r>
      <w:r>
        <w:t>imilar to</w:t>
      </w:r>
      <w:proofErr w:type="gramEnd"/>
      <w:r>
        <w:t xml:space="preserve"> that process, trying to locate university catalogs was tedious</w:t>
      </w:r>
      <w:r w:rsidR="00BC01EC">
        <w:t>.</w:t>
      </w:r>
      <w:r>
        <w:t xml:space="preserve"> </w:t>
      </w:r>
      <w:r w:rsidR="005E4A10">
        <w:t>I</w:t>
      </w:r>
      <w:r>
        <w:t xml:space="preserve">n the early days, locating a full catalog could take anywhere from a couple of minutes to half an hour. </w:t>
      </w:r>
      <w:r w:rsidR="007B31A4">
        <w:t xml:space="preserve">Even now with similar technology and experience in knowing keywords to use to search, it still takes time—a lot when you add together the number of programs—to locate </w:t>
      </w:r>
      <w:r w:rsidR="005E4A10">
        <w:t xml:space="preserve">it online </w:t>
      </w:r>
      <w:r w:rsidR="007B31A4">
        <w:t>and then to compile the data.</w:t>
      </w:r>
    </w:p>
    <w:p w14:paraId="3B299A1D" w14:textId="77777777" w:rsidR="007B31A4" w:rsidRDefault="007B31A4" w:rsidP="004F6089"/>
    <w:p w14:paraId="6A3DB228" w14:textId="0C9A8CB8" w:rsidR="004F6089" w:rsidRDefault="004F6089" w:rsidP="004F6089">
      <w:r>
        <w:t>There is no tool that strips information</w:t>
      </w:r>
      <w:r w:rsidR="00EC321F">
        <w:t xml:space="preserve"> into a format that can be used for analysis. Even tools that could help (writing code to extract data for example) ended up being more time consuming because I still had to do a lot of “clean up” after extraction</w:t>
      </w:r>
      <w:r w:rsidR="00C542B6">
        <w:t>, which intersects with Claire Lauer and her collaborators</w:t>
      </w:r>
      <w:r w:rsidR="00E02494">
        <w:t xml:space="preserve"> </w:t>
      </w:r>
      <w:r w:rsidR="00C542B6">
        <w:t xml:space="preserve">(2018) </w:t>
      </w:r>
      <w:r w:rsidR="00E02494">
        <w:t xml:space="preserve">who explained </w:t>
      </w:r>
      <w:r w:rsidR="00C542B6">
        <w:t xml:space="preserve">about hand coding versus data-driven methods. </w:t>
      </w:r>
      <w:r w:rsidR="002F21D4">
        <w:t xml:space="preserve">While I attempted multiple ways to compile the data, </w:t>
      </w:r>
      <w:proofErr w:type="gramStart"/>
      <w:r w:rsidR="002F21D4">
        <w:t>the majority of</w:t>
      </w:r>
      <w:proofErr w:type="gramEnd"/>
      <w:r w:rsidR="002F21D4">
        <w:t xml:space="preserve"> it was simply copied and pasted or manually </w:t>
      </w:r>
      <w:proofErr w:type="gramStart"/>
      <w:r w:rsidR="002F21D4">
        <w:t>entered into</w:t>
      </w:r>
      <w:proofErr w:type="gramEnd"/>
      <w:r w:rsidR="002F21D4">
        <w:t xml:space="preserve"> an excel spreadsheet. </w:t>
      </w:r>
      <w:r w:rsidR="000A4EAF">
        <w:t>For the c</w:t>
      </w:r>
      <w:r w:rsidR="002F21D4">
        <w:t>ompilation of data</w:t>
      </w:r>
      <w:r w:rsidR="000A4EAF">
        <w:t xml:space="preserve"> in the latter stages, I did have help from research assistants. </w:t>
      </w:r>
      <w:proofErr w:type="gramStart"/>
      <w:r w:rsidR="000A4EAF">
        <w:t>But,</w:t>
      </w:r>
      <w:proofErr w:type="gramEnd"/>
      <w:r w:rsidR="000A4EAF">
        <w:t xml:space="preserve"> </w:t>
      </w:r>
      <w:r w:rsidR="00EB5046">
        <w:t xml:space="preserve">know that </w:t>
      </w:r>
      <w:r w:rsidR="000A4EAF">
        <w:t xml:space="preserve">I checked the compilation and then I coded all </w:t>
      </w:r>
      <w:r w:rsidR="00EB5046">
        <w:t>the data</w:t>
      </w:r>
      <w:r w:rsidR="00E02494">
        <w:t xml:space="preserve">—some </w:t>
      </w:r>
      <w:r w:rsidR="00EB5046" w:rsidRPr="00051C3F">
        <w:t>100,000</w:t>
      </w:r>
      <w:r w:rsidR="00EB5046">
        <w:t xml:space="preserve"> </w:t>
      </w:r>
      <w:r w:rsidR="00E02494">
        <w:t>data points</w:t>
      </w:r>
      <w:r w:rsidR="00EB5046">
        <w:t xml:space="preserve">. </w:t>
      </w:r>
    </w:p>
    <w:p w14:paraId="582235BB" w14:textId="77777777" w:rsidR="00EC321F" w:rsidRDefault="00EC321F" w:rsidP="004F6089"/>
    <w:p w14:paraId="5D828D33" w14:textId="403D44DF" w:rsidR="00EC321F" w:rsidRDefault="00051C3F" w:rsidP="004F6089">
      <w:r>
        <w:t xml:space="preserve">Many practice decisions are based on time (my time of doing and the time of learning), costs of the tool, benefits of the tool, and/or experience with it. Because of these factors, </w:t>
      </w:r>
      <w:r w:rsidR="00EC321F">
        <w:t xml:space="preserve">I </w:t>
      </w:r>
      <w:r w:rsidR="00BB7F7A">
        <w:t>used</w:t>
      </w:r>
      <w:r w:rsidR="00EC321F">
        <w:t xml:space="preserve"> </w:t>
      </w:r>
      <w:proofErr w:type="gramStart"/>
      <w:r w:rsidR="00EC321F">
        <w:t>excel</w:t>
      </w:r>
      <w:proofErr w:type="gramEnd"/>
      <w:r w:rsidR="00EC321F">
        <w:t xml:space="preserve"> </w:t>
      </w:r>
      <w:r w:rsidR="00BB7F7A">
        <w:t xml:space="preserve">for this work </w:t>
      </w:r>
      <w:r w:rsidR="00EC321F">
        <w:t xml:space="preserve">because it was a </w:t>
      </w:r>
      <w:r w:rsidR="007B31A4">
        <w:t>well-known</w:t>
      </w:r>
      <w:r w:rsidR="00EC321F">
        <w:t xml:space="preserve"> tool</w:t>
      </w:r>
      <w:r w:rsidR="00CA4BA4">
        <w:t>,</w:t>
      </w:r>
      <w:r w:rsidR="00EC321F">
        <w:t xml:space="preserve"> and it does have the ability to manage lots of data. It was also easier to find ways to make excel do what I needed rather than other options where the learning curve was incredibly steep. </w:t>
      </w:r>
      <w:r w:rsidR="00CA4BA4">
        <w:t>Once the information was logged into the spreadsheets, I coded it in excel and used pivot tables</w:t>
      </w:r>
      <w:r w:rsidR="00EB5046">
        <w:t xml:space="preserve"> and formulas</w:t>
      </w:r>
      <w:r w:rsidR="00CA4BA4">
        <w:t xml:space="preserve"> to analyze the data in different ways. Using </w:t>
      </w:r>
      <w:proofErr w:type="gramStart"/>
      <w:r w:rsidR="00CA4BA4">
        <w:t>excel</w:t>
      </w:r>
      <w:proofErr w:type="gramEnd"/>
      <w:r w:rsidR="00CA4BA4">
        <w:t xml:space="preserve"> also meant creating the visuals was </w:t>
      </w:r>
      <w:proofErr w:type="gramStart"/>
      <w:r w:rsidR="00CA4BA4">
        <w:t>fairly easy</w:t>
      </w:r>
      <w:proofErr w:type="gramEnd"/>
      <w:r w:rsidR="00CA4BA4">
        <w:t xml:space="preserve"> since I could create them on a separate page in the same workbook</w:t>
      </w:r>
      <w:r w:rsidR="00EB5046">
        <w:t>, and they exported in a format that could be used in publication.</w:t>
      </w:r>
      <w:r w:rsidR="00CA4BA4">
        <w:t xml:space="preserve"> </w:t>
      </w:r>
      <w:r w:rsidR="005E4A10">
        <w:t>Since</w:t>
      </w:r>
      <w:r w:rsidR="00EC321F">
        <w:t xml:space="preserve"> I never planned on this project taking this lon</w:t>
      </w:r>
      <w:r w:rsidR="00CA4BA4">
        <w:t xml:space="preserve">g nor </w:t>
      </w:r>
      <w:r w:rsidR="00EC321F">
        <w:t>having to update (multiple times) the data</w:t>
      </w:r>
      <w:r w:rsidR="005E4A10">
        <w:t>, excel may not have been a</w:t>
      </w:r>
      <w:r w:rsidR="00CA4BA4">
        <w:t xml:space="preserve">n </w:t>
      </w:r>
      <w:r w:rsidR="005E4A10">
        <w:t>elegant decision</w:t>
      </w:r>
      <w:r w:rsidR="00CA4BA4">
        <w:t xml:space="preserve">. But, as I finished up the project, I can confirm </w:t>
      </w:r>
      <w:r w:rsidR="005E4A10">
        <w:t xml:space="preserve">it was a </w:t>
      </w:r>
      <w:r w:rsidR="005E4A10">
        <w:lastRenderedPageBreak/>
        <w:t xml:space="preserve">good </w:t>
      </w:r>
      <w:r w:rsidR="00CA4BA4">
        <w:t>decision.</w:t>
      </w:r>
      <w:r w:rsidR="005E4A10">
        <w:t xml:space="preserve"> </w:t>
      </w:r>
      <w:r w:rsidR="00EC321F">
        <w:t xml:space="preserve">Figure ?? </w:t>
      </w:r>
      <w:r w:rsidR="008E7212">
        <w:t>and ??</w:t>
      </w:r>
      <w:r w:rsidR="00EC321F">
        <w:t xml:space="preserve">shows what part of the excel spreadsheet looks like to give a sense of the data. </w:t>
      </w:r>
    </w:p>
    <w:p w14:paraId="56FEEF59" w14:textId="77777777" w:rsidR="005E4A10" w:rsidRDefault="001E5FB0" w:rsidP="005E4A10">
      <w:pPr>
        <w:keepNext/>
      </w:pPr>
      <w:r>
        <w:rPr>
          <w:noProof/>
        </w:rPr>
        <w:drawing>
          <wp:inline distT="0" distB="0" distL="0" distR="0" wp14:anchorId="7A8986B9" wp14:editId="068E1767">
            <wp:extent cx="3976437" cy="2628867"/>
            <wp:effectExtent l="0" t="0" r="0" b="635"/>
            <wp:docPr id="5" name="Picture 5"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table, Excel&#10;&#10;Description automatically generated"/>
                    <pic:cNvPicPr/>
                  </pic:nvPicPr>
                  <pic:blipFill>
                    <a:blip r:embed="rId11" cstate="email">
                      <a:extLst>
                        <a:ext uri="{28A0092B-C50C-407E-A947-70E740481C1C}">
                          <a14:useLocalDpi xmlns:a14="http://schemas.microsoft.com/office/drawing/2010/main"/>
                        </a:ext>
                      </a:extLst>
                    </a:blip>
                    <a:stretch>
                      <a:fillRect/>
                    </a:stretch>
                  </pic:blipFill>
                  <pic:spPr>
                    <a:xfrm>
                      <a:off x="0" y="0"/>
                      <a:ext cx="4008251" cy="2649900"/>
                    </a:xfrm>
                    <a:prstGeom prst="rect">
                      <a:avLst/>
                    </a:prstGeom>
                  </pic:spPr>
                </pic:pic>
              </a:graphicData>
            </a:graphic>
          </wp:inline>
        </w:drawing>
      </w:r>
    </w:p>
    <w:p w14:paraId="7F418724" w14:textId="00A56750" w:rsidR="00EC321F" w:rsidRDefault="005E4A10" w:rsidP="005E4A10">
      <w:pPr>
        <w:pStyle w:val="Caption"/>
        <w:jc w:val="left"/>
      </w:pPr>
      <w:r>
        <w:t xml:space="preserve">Figure </w:t>
      </w:r>
      <w:fldSimple w:instr=" SEQ Figure \* ARABIC ">
        <w:r>
          <w:rPr>
            <w:noProof/>
          </w:rPr>
          <w:t>2</w:t>
        </w:r>
      </w:fldSimple>
    </w:p>
    <w:p w14:paraId="5777466E" w14:textId="77777777" w:rsidR="001E5FB0" w:rsidRDefault="001E5FB0" w:rsidP="004F6089"/>
    <w:p w14:paraId="09D5EC20" w14:textId="77777777" w:rsidR="005E4A10" w:rsidRDefault="001E5FB0" w:rsidP="005E4A10">
      <w:pPr>
        <w:keepNext/>
      </w:pPr>
      <w:r>
        <w:rPr>
          <w:noProof/>
        </w:rPr>
        <w:drawing>
          <wp:inline distT="0" distB="0" distL="0" distR="0" wp14:anchorId="6211DCF3" wp14:editId="5EA2D625">
            <wp:extent cx="5486400" cy="1391285"/>
            <wp:effectExtent l="0" t="0" r="0" b="5715"/>
            <wp:docPr id="6" name="Picture 6"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 table, Excel&#10;&#10;Description automatically generated"/>
                    <pic:cNvPicPr/>
                  </pic:nvPicPr>
                  <pic:blipFill>
                    <a:blip r:embed="rId12" cstate="email">
                      <a:extLst>
                        <a:ext uri="{28A0092B-C50C-407E-A947-70E740481C1C}">
                          <a14:useLocalDpi xmlns:a14="http://schemas.microsoft.com/office/drawing/2010/main"/>
                        </a:ext>
                      </a:extLst>
                    </a:blip>
                    <a:stretch>
                      <a:fillRect/>
                    </a:stretch>
                  </pic:blipFill>
                  <pic:spPr>
                    <a:xfrm>
                      <a:off x="0" y="0"/>
                      <a:ext cx="5486400" cy="1391285"/>
                    </a:xfrm>
                    <a:prstGeom prst="rect">
                      <a:avLst/>
                    </a:prstGeom>
                  </pic:spPr>
                </pic:pic>
              </a:graphicData>
            </a:graphic>
          </wp:inline>
        </w:drawing>
      </w:r>
    </w:p>
    <w:p w14:paraId="6705A814" w14:textId="55F9C5EE" w:rsidR="001E5FB0" w:rsidRDefault="005E4A10" w:rsidP="005E4A10">
      <w:pPr>
        <w:pStyle w:val="Caption"/>
        <w:jc w:val="left"/>
      </w:pPr>
      <w:r>
        <w:t xml:space="preserve">Figure </w:t>
      </w:r>
      <w:fldSimple w:instr=" SEQ Figure \* ARABIC ">
        <w:r>
          <w:rPr>
            <w:noProof/>
          </w:rPr>
          <w:t>3</w:t>
        </w:r>
      </w:fldSimple>
    </w:p>
    <w:p w14:paraId="4FF6E737" w14:textId="77777777" w:rsidR="00EC321F" w:rsidRDefault="00EC321F" w:rsidP="004F6089"/>
    <w:p w14:paraId="7DBA3A0E" w14:textId="77777777" w:rsidR="00EC321F" w:rsidRDefault="00EC321F" w:rsidP="004F6089"/>
    <w:p w14:paraId="159758FD" w14:textId="1C359650" w:rsidR="004F6089" w:rsidRPr="004F6089" w:rsidRDefault="00435635" w:rsidP="004F6089">
      <w:r>
        <w:t xml:space="preserve">The next section describes some of the process for managing and maintaining the compiled data. </w:t>
      </w:r>
    </w:p>
    <w:p w14:paraId="0DDE6F72" w14:textId="5C844367" w:rsidR="004F6089" w:rsidRPr="004F6089" w:rsidRDefault="005A7BE4" w:rsidP="004F6089">
      <w:pPr>
        <w:pStyle w:val="Heading2"/>
      </w:pPr>
      <w:r>
        <w:t>Data</w:t>
      </w:r>
      <w:r w:rsidR="00BB4A1B">
        <w:t xml:space="preserve"> </w:t>
      </w:r>
      <w:r>
        <w:t>Management and Maintenance</w:t>
      </w:r>
    </w:p>
    <w:p w14:paraId="2E3EC952" w14:textId="7E8945B1" w:rsidR="005A7BE4" w:rsidRDefault="005A7BE4" w:rsidP="005A7BE4">
      <w:r>
        <w:t>As I have worked with graduate students who are interested in programmatic research,</w:t>
      </w:r>
      <w:r>
        <w:rPr>
          <w:rStyle w:val="FootnoteReference"/>
        </w:rPr>
        <w:footnoteReference w:id="31"/>
      </w:r>
      <w:r>
        <w:t xml:space="preserve"> I had to try and make transparent many things that I had internalized. The biggest was the actual practice of how to work with data through managing it and maintaining it</w:t>
      </w:r>
      <w:r w:rsidR="00EC321F">
        <w:t xml:space="preserve"> outside of what may be required by the IRB</w:t>
      </w:r>
      <w:r>
        <w:t>. This practice of research does not get enough attention, but it is essential to the veracity of results and findings.</w:t>
      </w:r>
    </w:p>
    <w:p w14:paraId="7773E58C" w14:textId="2C0C8D3E" w:rsidR="001C5DF5" w:rsidRDefault="001C5DF5" w:rsidP="005A7BE4"/>
    <w:p w14:paraId="541B1AF7" w14:textId="2FDD172B" w:rsidR="00450662" w:rsidRDefault="00450662" w:rsidP="00450662">
      <w:r>
        <w:t xml:space="preserve">In the early days, much of this work was done in hard copy. I made lists and worked my way through finding the information about curricula. a lot has changed with technology </w:t>
      </w:r>
      <w:proofErr w:type="gramStart"/>
      <w:r>
        <w:lastRenderedPageBreak/>
        <w:t>during the course of</w:t>
      </w:r>
      <w:proofErr w:type="gramEnd"/>
      <w:r>
        <w:t xml:space="preserve"> this project. Circa 2006 meant a lot of work was simply easier to do on paper or by hand, which may be difficult for some to understand considering the proliferation of technologies. Figure </w:t>
      </w:r>
    </w:p>
    <w:p w14:paraId="56313286" w14:textId="2EE6641A" w:rsidR="00450662" w:rsidRDefault="00450662" w:rsidP="005A7BE4">
      <w:r>
        <w:t xml:space="preserve"> </w:t>
      </w:r>
    </w:p>
    <w:p w14:paraId="612CD39E" w14:textId="77777777" w:rsidR="00450662" w:rsidRDefault="00450662" w:rsidP="00450662">
      <w:pPr>
        <w:keepNext/>
        <w:jc w:val="center"/>
      </w:pPr>
      <w:r>
        <w:rPr>
          <w:noProof/>
        </w:rPr>
        <w:drawing>
          <wp:inline distT="0" distB="0" distL="0" distR="0" wp14:anchorId="3446ACDE" wp14:editId="166294A5">
            <wp:extent cx="3892061" cy="2919046"/>
            <wp:effectExtent l="12700" t="12700" r="6985" b="1524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3945390" cy="2959043"/>
                    </a:xfrm>
                    <a:prstGeom prst="rect">
                      <a:avLst/>
                    </a:prstGeom>
                    <a:ln>
                      <a:solidFill>
                        <a:schemeClr val="tx1"/>
                      </a:solidFill>
                    </a:ln>
                  </pic:spPr>
                </pic:pic>
              </a:graphicData>
            </a:graphic>
          </wp:inline>
        </w:drawing>
      </w:r>
    </w:p>
    <w:p w14:paraId="0FBF2DA4" w14:textId="77777777" w:rsidR="00450662" w:rsidRDefault="00450662" w:rsidP="00450662">
      <w:pPr>
        <w:pStyle w:val="Caption"/>
      </w:pPr>
      <w:r>
        <w:t xml:space="preserve">Figure </w:t>
      </w:r>
      <w:fldSimple w:instr=" SEQ Figure \* ARABIC ">
        <w:r>
          <w:rPr>
            <w:noProof/>
          </w:rPr>
          <w:t>4</w:t>
        </w:r>
      </w:fldSimple>
    </w:p>
    <w:p w14:paraId="2496C7C5" w14:textId="77777777" w:rsidR="00450662" w:rsidRDefault="00450662" w:rsidP="005A7BE4"/>
    <w:p w14:paraId="42B26576" w14:textId="77777777" w:rsidR="00450662" w:rsidRDefault="00450662" w:rsidP="005A7BE4"/>
    <w:p w14:paraId="78934DB3" w14:textId="20153128" w:rsidR="001C5DF5" w:rsidRDefault="001C5DF5" w:rsidP="005A7BE4">
      <w:r>
        <w:t xml:space="preserve">Figure </w:t>
      </w:r>
      <w:r w:rsidRPr="002F0AB5">
        <w:rPr>
          <w:highlight w:val="yellow"/>
        </w:rPr>
        <w:t>??</w:t>
      </w:r>
      <w:r>
        <w:t xml:space="preserve"> are actual lists of schools. </w:t>
      </w:r>
      <w:r w:rsidR="007C34DE">
        <w:t xml:space="preserve">Even now, I still have a </w:t>
      </w:r>
      <w:r w:rsidR="002F0AB5">
        <w:t>four-</w:t>
      </w:r>
      <w:r w:rsidR="007C34DE">
        <w:t>inch stack of pages with lists just like this. At this point, I have a nostalgic connection to them</w:t>
      </w:r>
      <w:r w:rsidR="00EB5046">
        <w:t>. Even though</w:t>
      </w:r>
      <w:r w:rsidR="007C34DE">
        <w:t xml:space="preserve"> </w:t>
      </w:r>
      <w:r w:rsidR="00EB5046">
        <w:t>t</w:t>
      </w:r>
      <w:r w:rsidR="007C34DE">
        <w:t>hey are no lon</w:t>
      </w:r>
      <w:r w:rsidR="002F0AB5">
        <w:t>g</w:t>
      </w:r>
      <w:r w:rsidR="007C34DE">
        <w:t xml:space="preserve">er necessary, they do show a history of the lists associated this project, especially when read alongside the electronic folder titled “old lists.” </w:t>
      </w:r>
      <w:r>
        <w:t>When I moved from Cincinnati to Tampa</w:t>
      </w:r>
      <w:r w:rsidR="00EB5046">
        <w:t xml:space="preserve"> in 2017</w:t>
      </w:r>
      <w:r>
        <w:t xml:space="preserve">, I recycled </w:t>
      </w:r>
      <w:r w:rsidR="00EB5046">
        <w:t xml:space="preserve">contents of a </w:t>
      </w:r>
      <w:r>
        <w:t xml:space="preserve">three drawer filing cabinet </w:t>
      </w:r>
      <w:r w:rsidR="007420EF">
        <w:t>that w</w:t>
      </w:r>
      <w:r w:rsidR="00EB5046">
        <w:t>as only</w:t>
      </w:r>
      <w:r w:rsidR="007420EF">
        <w:t xml:space="preserve"> filled with copies </w:t>
      </w:r>
      <w:r>
        <w:t xml:space="preserve">of course catalogs. </w:t>
      </w:r>
      <w:r w:rsidR="00EB5046">
        <w:t>In those days, course catalogs were not online</w:t>
      </w:r>
      <w:r w:rsidR="00BB7F7A">
        <w:t xml:space="preserve"> in a searchable format.</w:t>
      </w:r>
      <w:r w:rsidR="00EB5046">
        <w:t xml:space="preserve"> </w:t>
      </w:r>
      <w:r w:rsidR="00BB7F7A">
        <w:t xml:space="preserve">Refer to figure ?? for what this looks like online now. </w:t>
      </w:r>
    </w:p>
    <w:p w14:paraId="63FB30F3" w14:textId="77777777" w:rsidR="001E5FB0" w:rsidRDefault="001E5FB0" w:rsidP="005A7BE4"/>
    <w:p w14:paraId="0AE478D9" w14:textId="77777777" w:rsidR="005E4A10" w:rsidRDefault="001E5FB0" w:rsidP="005E4A10">
      <w:pPr>
        <w:keepNext/>
      </w:pPr>
      <w:r>
        <w:rPr>
          <w:noProof/>
        </w:rPr>
        <w:lastRenderedPageBreak/>
        <w:drawing>
          <wp:inline distT="0" distB="0" distL="0" distR="0" wp14:anchorId="3E387327" wp14:editId="124DB879">
            <wp:extent cx="3838074" cy="3249925"/>
            <wp:effectExtent l="0" t="0" r="0" b="1905"/>
            <wp:docPr id="7" name="Picture 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 email&#10;&#10;Description automatically generated"/>
                    <pic:cNvPicPr/>
                  </pic:nvPicPr>
                  <pic:blipFill>
                    <a:blip r:embed="rId14" cstate="email">
                      <a:extLst>
                        <a:ext uri="{28A0092B-C50C-407E-A947-70E740481C1C}">
                          <a14:useLocalDpi xmlns:a14="http://schemas.microsoft.com/office/drawing/2010/main"/>
                        </a:ext>
                      </a:extLst>
                    </a:blip>
                    <a:stretch>
                      <a:fillRect/>
                    </a:stretch>
                  </pic:blipFill>
                  <pic:spPr>
                    <a:xfrm>
                      <a:off x="0" y="0"/>
                      <a:ext cx="3866921" cy="3274352"/>
                    </a:xfrm>
                    <a:prstGeom prst="rect">
                      <a:avLst/>
                    </a:prstGeom>
                  </pic:spPr>
                </pic:pic>
              </a:graphicData>
            </a:graphic>
          </wp:inline>
        </w:drawing>
      </w:r>
    </w:p>
    <w:p w14:paraId="1429D5DA" w14:textId="2AEA6DE3" w:rsidR="001E5FB0" w:rsidRDefault="005E4A10" w:rsidP="005E4A10">
      <w:pPr>
        <w:pStyle w:val="Caption"/>
        <w:jc w:val="left"/>
      </w:pPr>
      <w:r>
        <w:t xml:space="preserve">Figure </w:t>
      </w:r>
      <w:fldSimple w:instr=" SEQ Figure \* ARABIC ">
        <w:r>
          <w:rPr>
            <w:noProof/>
          </w:rPr>
          <w:t>5</w:t>
        </w:r>
      </w:fldSimple>
    </w:p>
    <w:p w14:paraId="49127E84" w14:textId="658C5C53" w:rsidR="00CE2923" w:rsidRDefault="00CE2923" w:rsidP="005A7BE4"/>
    <w:p w14:paraId="355E6DCE" w14:textId="77777777" w:rsidR="00450662" w:rsidRDefault="00450662" w:rsidP="00450662">
      <w:r>
        <w:t xml:space="preserve">They were PDF files and typically only the current year was available. In the last several years, </w:t>
      </w:r>
      <w:proofErr w:type="gramStart"/>
      <w:r>
        <w:t>the majority of</w:t>
      </w:r>
      <w:proofErr w:type="gramEnd"/>
      <w:r>
        <w:t xml:space="preserve"> institutions are now archiving old catalogs </w:t>
      </w:r>
      <w:proofErr w:type="gramStart"/>
      <w:r>
        <w:t>online</w:t>
      </w:r>
      <w:proofErr w:type="gramEnd"/>
      <w:r>
        <w:t xml:space="preserve"> so I have also finally deleted </w:t>
      </w:r>
      <w:proofErr w:type="gramStart"/>
      <w:r>
        <w:t>the majority of</w:t>
      </w:r>
      <w:proofErr w:type="gramEnd"/>
      <w:r>
        <w:t xml:space="preserve"> electronic catalogs as well. At one time, in addition to the hard copies, I had several gigs of data on an external hard drive that was just course catalogs. </w:t>
      </w:r>
    </w:p>
    <w:p w14:paraId="5175C482" w14:textId="77777777" w:rsidR="00A67EEB" w:rsidRDefault="00A67EEB" w:rsidP="005A7BE4"/>
    <w:p w14:paraId="63D2AFF6" w14:textId="1AFEE4BA" w:rsidR="005A7BE4" w:rsidRDefault="005A7BE4" w:rsidP="005A7BE4">
      <w:r>
        <w:t xml:space="preserve">As previously described, the data gathering and updating was an iterative, but not systematic process. For example, I do have “complete” data about TPC degrees from several specific timeframes so that trends can be established, but for minor </w:t>
      </w:r>
      <w:r w:rsidR="00BB7F7A">
        <w:t xml:space="preserve">degree </w:t>
      </w:r>
      <w:r>
        <w:t>data, I have only ever collected that haphazardly so the “final” data in Fall, 202</w:t>
      </w:r>
      <w:r w:rsidR="00CA4BA4">
        <w:t>3</w:t>
      </w:r>
      <w:r>
        <w:t xml:space="preserve"> is the most complete that I have ever had. I do have data through the years, but admittedly, I did a poor job keeping clear and accurate records so the best I can do to determine timeframes is based on versions</w:t>
      </w:r>
      <w:r w:rsidR="00CA4BA4">
        <w:t xml:space="preserve"> where I saved the year in the filename or </w:t>
      </w:r>
      <w:r>
        <w:t xml:space="preserve">the last dates they were saved. The reason for this admission is to highlight some of the suggestions for what I am referring to as data management and data maintenance. </w:t>
      </w:r>
    </w:p>
    <w:p w14:paraId="28325EC7" w14:textId="4A11C1DC" w:rsidR="00CE2923" w:rsidRDefault="00CE2923" w:rsidP="005A7BE4"/>
    <w:p w14:paraId="2646F030" w14:textId="65DE1B24" w:rsidR="001A3E0C" w:rsidRDefault="001A3E0C" w:rsidP="005A7BE4">
      <w:r>
        <w:t xml:space="preserve">One reason for </w:t>
      </w:r>
      <w:r w:rsidR="00CA4BA4">
        <w:t xml:space="preserve">inconsistent </w:t>
      </w:r>
      <w:r>
        <w:t xml:space="preserve">recordkeeping was the fact that this project was done in fits and starts, with </w:t>
      </w:r>
      <w:r w:rsidR="00EB5046">
        <w:t>several</w:t>
      </w:r>
      <w:r>
        <w:t xml:space="preserve"> overlapping parts. </w:t>
      </w:r>
      <w:r w:rsidR="00CA4BA4">
        <w:t xml:space="preserve">Both the starting and stopping and overlapping projects made </w:t>
      </w:r>
      <w:r>
        <w:t xml:space="preserve">it difficult to keep all the details straight, and it was years into this project before I realized that I likely needed to have compiled more “field notes.” That is, I needed to do a much better job of tracking changes and minor shifts. For example, I should have noted somewhere when the </w:t>
      </w:r>
      <w:r w:rsidR="008A733B">
        <w:t xml:space="preserve">academic </w:t>
      </w:r>
      <w:r>
        <w:t xml:space="preserve">organizations changed their list of programs; another example would be that I needed to make note of when I learned about things like Carnegie classification; another example, more notes within the data about the years I noticed changes in programs such as when they were discontinued or when they started. In other words, I did not follow the effective practice of taking detailed research </w:t>
      </w:r>
      <w:r>
        <w:lastRenderedPageBreak/>
        <w:t xml:space="preserve">notes or </w:t>
      </w:r>
      <w:proofErr w:type="spellStart"/>
      <w:r>
        <w:t>memoing</w:t>
      </w:r>
      <w:proofErr w:type="spellEnd"/>
      <w:r>
        <w:t xml:space="preserve"> during the practice of research. Part of this was pure ignorance to this practice (because it is done differently in my experience of workplace research) and the other part was when I did learn about it</w:t>
      </w:r>
      <w:r w:rsidR="008A733B">
        <w:t>,</w:t>
      </w:r>
      <w:r>
        <w:t xml:space="preserve"> I felt it was too late for it to be effective. Also, I have no doubt that during the practice of research I talked myself </w:t>
      </w:r>
      <w:r w:rsidR="007C3835">
        <w:t xml:space="preserve">out </w:t>
      </w:r>
      <w:r>
        <w:t xml:space="preserve">of it because of time or energy or I simply thought I would have time to make that note later, which rarely happens. This practice of taking detailed notes is one that I now do consistently, </w:t>
      </w:r>
      <w:proofErr w:type="gramStart"/>
      <w:r>
        <w:t>and also</w:t>
      </w:r>
      <w:proofErr w:type="gramEnd"/>
      <w:r w:rsidR="008A733B">
        <w:t>, it is</w:t>
      </w:r>
      <w:r>
        <w:t xml:space="preserve"> one that I urge </w:t>
      </w:r>
      <w:r w:rsidR="008A733B">
        <w:t xml:space="preserve">other </w:t>
      </w:r>
      <w:r>
        <w:t xml:space="preserve">researchers to do as a matter of standard practice.  </w:t>
      </w:r>
    </w:p>
    <w:p w14:paraId="6382D6E6" w14:textId="77777777" w:rsidR="001A3E0C" w:rsidRDefault="001A3E0C" w:rsidP="005A7BE4"/>
    <w:p w14:paraId="2CB95A4E" w14:textId="68454EA1" w:rsidR="00CE2923" w:rsidRDefault="008A733B" w:rsidP="005A7BE4">
      <w:r>
        <w:t>Another p</w:t>
      </w:r>
      <w:r w:rsidR="00CE2923">
        <w:t>art of the reason I did a poor job of keeping good records was that I had too many records. As I gathered data based on degree type, I put different degree types into separate excel spreadsheets. On the surface that seemed to make sense, but over time, all it meant was that I wasted a lot of time doing things multiple times. In the Fall of 2022 when all the spreadsheets were combined</w:t>
      </w:r>
      <w:r w:rsidR="00D16521">
        <w:t xml:space="preserve"> for the first time</w:t>
      </w:r>
      <w:r w:rsidR="00CE2923">
        <w:t xml:space="preserve">, the amount of data duplication was astonishing. It was at that moment I realized how much extra time I had put in while convincing myself it was easier and quicker than trying to figure out a data schema from the beginning. If I had invoked my </w:t>
      </w:r>
      <w:r w:rsidR="00BB7F7A">
        <w:t xml:space="preserve">own </w:t>
      </w:r>
      <w:r w:rsidR="00CE2923">
        <w:t xml:space="preserve">knowledge of database architecture </w:t>
      </w:r>
      <w:r>
        <w:t xml:space="preserve">and knowledge management </w:t>
      </w:r>
      <w:r w:rsidR="00CE2923">
        <w:t xml:space="preserve">early on, I would have realized how to gather data and store it without having to re-do so many things. For example, courses are often used for multiple programs. But in my original data management system, I had gathered courses for each program. Thus, when the data were combined, the same course may have appeared multiple times. </w:t>
      </w:r>
    </w:p>
    <w:p w14:paraId="05996F2C" w14:textId="6A4A964A" w:rsidR="005A7BE4" w:rsidRDefault="005A7BE4" w:rsidP="005A7BE4"/>
    <w:p w14:paraId="4A7494A3" w14:textId="2EF12996" w:rsidR="005A7BE4" w:rsidRDefault="005A7BE4" w:rsidP="005A7BE4">
      <w:r>
        <w:t xml:space="preserve">For many readers, what follows </w:t>
      </w:r>
      <w:r w:rsidR="00EB5046">
        <w:t>may</w:t>
      </w:r>
      <w:r>
        <w:t xml:space="preserve"> sound familiar as some of the best practices that technical and professional </w:t>
      </w:r>
      <w:r w:rsidR="00C1419C">
        <w:t>communicators</w:t>
      </w:r>
      <w:r>
        <w:t xml:space="preserve"> have </w:t>
      </w:r>
      <w:r w:rsidR="00C1419C">
        <w:t>long</w:t>
      </w:r>
      <w:r>
        <w:t xml:space="preserve"> implemented. However, in the everyday work of research</w:t>
      </w:r>
      <w:r w:rsidR="00C1419C">
        <w:t xml:space="preserve"> alongside the everyday work of being faculty</w:t>
      </w:r>
      <w:r>
        <w:t>, researchers often think they will have the time and energy to go back later and</w:t>
      </w:r>
      <w:r w:rsidR="008A733B">
        <w:t>/or</w:t>
      </w:r>
      <w:r>
        <w:t xml:space="preserve"> they will remember what it is they need to do</w:t>
      </w:r>
      <w:r w:rsidR="008A733B">
        <w:t>. T</w:t>
      </w:r>
      <w:r w:rsidR="00C1419C">
        <w:t>he fact of the matter is th</w:t>
      </w:r>
      <w:r w:rsidR="008A733B">
        <w:t>at</w:t>
      </w:r>
      <w:r w:rsidR="00C1419C">
        <w:t xml:space="preserve"> rarely</w:t>
      </w:r>
      <w:r w:rsidR="008A733B">
        <w:t xml:space="preserve"> happens</w:t>
      </w:r>
      <w:r w:rsidR="00C1419C">
        <w:t xml:space="preserve">. </w:t>
      </w:r>
      <w:r>
        <w:t xml:space="preserve">I point </w:t>
      </w:r>
      <w:r w:rsidR="008A733B">
        <w:t xml:space="preserve">to </w:t>
      </w:r>
      <w:r>
        <w:t>the</w:t>
      </w:r>
      <w:r w:rsidR="00C1419C">
        <w:t>se effective practices</w:t>
      </w:r>
      <w:r>
        <w:t xml:space="preserve"> (no matter how obvious) because researchers can never be reminded enough to</w:t>
      </w:r>
      <w:r w:rsidR="00C1419C">
        <w:t xml:space="preserve"> do the work of management and maintenance at the time of doing the work.  </w:t>
      </w:r>
    </w:p>
    <w:p w14:paraId="07FA4065" w14:textId="26851A4A" w:rsidR="00C1419C" w:rsidRDefault="00C1419C" w:rsidP="005A7BE4"/>
    <w:p w14:paraId="55C9CD15" w14:textId="2738F5A7" w:rsidR="00615AB0" w:rsidRPr="007420EF" w:rsidRDefault="00615AB0" w:rsidP="007420EF">
      <w:pPr>
        <w:pStyle w:val="ListParagraph"/>
        <w:numPr>
          <w:ilvl w:val="0"/>
          <w:numId w:val="21"/>
        </w:numPr>
      </w:pPr>
      <w:r w:rsidRPr="007420EF">
        <w:t>Consider the overall goals and make a schema for data collection</w:t>
      </w:r>
    </w:p>
    <w:p w14:paraId="57CA882D" w14:textId="38BF7366" w:rsidR="00342D49" w:rsidRPr="007420EF" w:rsidRDefault="00342D49" w:rsidP="007420EF">
      <w:pPr>
        <w:pStyle w:val="ListParagraph"/>
        <w:numPr>
          <w:ilvl w:val="0"/>
          <w:numId w:val="21"/>
        </w:numPr>
      </w:pPr>
      <w:r w:rsidRPr="007420EF">
        <w:t>Clean data</w:t>
      </w:r>
      <w:r w:rsidR="007420EF" w:rsidRPr="007420EF">
        <w:t xml:space="preserve"> as you go</w:t>
      </w:r>
      <w:r w:rsidRPr="007420EF">
        <w:t>; be consistent; gather more than you think you need</w:t>
      </w:r>
    </w:p>
    <w:p w14:paraId="046813EC" w14:textId="6F439DBA" w:rsidR="00342D49" w:rsidRPr="007420EF" w:rsidRDefault="00342D49" w:rsidP="007420EF">
      <w:pPr>
        <w:pStyle w:val="ListParagraph"/>
        <w:numPr>
          <w:ilvl w:val="0"/>
          <w:numId w:val="21"/>
        </w:numPr>
      </w:pPr>
      <w:r w:rsidRPr="007420EF">
        <w:t xml:space="preserve">Use simple, long term </w:t>
      </w:r>
      <w:r w:rsidR="001021F3" w:rsidRPr="007420EF">
        <w:t xml:space="preserve">technological </w:t>
      </w:r>
      <w:r w:rsidRPr="007420EF">
        <w:t xml:space="preserve">tools (why I used </w:t>
      </w:r>
      <w:proofErr w:type="gramStart"/>
      <w:r w:rsidRPr="007420EF">
        <w:t>excel</w:t>
      </w:r>
      <w:proofErr w:type="gramEnd"/>
      <w:r w:rsidRPr="007420EF">
        <w:t xml:space="preserve"> and learned excel); compatible with other tools and potentials (csv)</w:t>
      </w:r>
    </w:p>
    <w:p w14:paraId="30EE0E60" w14:textId="60A2B37D" w:rsidR="00342D49" w:rsidRPr="007420EF" w:rsidRDefault="007420EF" w:rsidP="007420EF">
      <w:pPr>
        <w:pStyle w:val="ListParagraph"/>
        <w:numPr>
          <w:ilvl w:val="0"/>
          <w:numId w:val="21"/>
        </w:numPr>
      </w:pPr>
      <w:r w:rsidRPr="007420EF">
        <w:t>Keep complete t</w:t>
      </w:r>
      <w:r w:rsidR="00342D49" w:rsidRPr="007420EF">
        <w:t>heme and codebooks with full justifications (can pare them down later for publication)</w:t>
      </w:r>
    </w:p>
    <w:p w14:paraId="1CA71CD3" w14:textId="65ABB7DC" w:rsidR="00342D49" w:rsidRPr="007420EF" w:rsidRDefault="007420EF" w:rsidP="007420EF">
      <w:pPr>
        <w:pStyle w:val="ListParagraph"/>
        <w:numPr>
          <w:ilvl w:val="0"/>
          <w:numId w:val="21"/>
        </w:numPr>
      </w:pPr>
      <w:r w:rsidRPr="007420EF">
        <w:t>Do f</w:t>
      </w:r>
      <w:r w:rsidR="00342D49" w:rsidRPr="007420EF">
        <w:t xml:space="preserve">ield notes or </w:t>
      </w:r>
      <w:proofErr w:type="spellStart"/>
      <w:r w:rsidR="00342D49" w:rsidRPr="007420EF">
        <w:t>memoing</w:t>
      </w:r>
      <w:proofErr w:type="spellEnd"/>
      <w:r w:rsidR="00342D49" w:rsidRPr="007420EF">
        <w:t xml:space="preserve"> along the way (means you don’t have to rely on your memory)</w:t>
      </w:r>
    </w:p>
    <w:p w14:paraId="7113EA86" w14:textId="77777777" w:rsidR="00615AB0" w:rsidRPr="007420EF" w:rsidRDefault="00615AB0" w:rsidP="007420EF">
      <w:pPr>
        <w:pStyle w:val="ListParagraph"/>
        <w:numPr>
          <w:ilvl w:val="0"/>
          <w:numId w:val="21"/>
        </w:numPr>
      </w:pPr>
      <w:r w:rsidRPr="007420EF">
        <w:t>Create a read me file (for future you)</w:t>
      </w:r>
    </w:p>
    <w:p w14:paraId="24190CFF" w14:textId="458FBB8A" w:rsidR="00615AB0" w:rsidRDefault="00615AB0" w:rsidP="007420EF">
      <w:pPr>
        <w:pStyle w:val="ListParagraph"/>
        <w:numPr>
          <w:ilvl w:val="0"/>
          <w:numId w:val="21"/>
        </w:numPr>
      </w:pPr>
      <w:r w:rsidRPr="007420EF">
        <w:t>Stor</w:t>
      </w:r>
      <w:r w:rsidR="007420EF" w:rsidRPr="007420EF">
        <w:t>e</w:t>
      </w:r>
      <w:r w:rsidRPr="007420EF">
        <w:t xml:space="preserve"> data </w:t>
      </w:r>
      <w:r w:rsidR="007420EF" w:rsidRPr="007420EF">
        <w:t xml:space="preserve">in multiple places </w:t>
      </w:r>
      <w:r w:rsidRPr="007420EF">
        <w:t xml:space="preserve">(quantitative and qualitative); always original and a </w:t>
      </w:r>
      <w:proofErr w:type="spellStart"/>
      <w:r w:rsidRPr="007420EF">
        <w:t>back up</w:t>
      </w:r>
      <w:proofErr w:type="spellEnd"/>
      <w:r w:rsidRPr="007420EF">
        <w:t xml:space="preserve"> somewhere else; compilation tables of what the data is and where it came from (this is important for writing up results for publication)</w:t>
      </w:r>
    </w:p>
    <w:p w14:paraId="5ADE854D" w14:textId="0A6C9EA5" w:rsidR="007420EF" w:rsidRPr="007420EF" w:rsidRDefault="007420EF" w:rsidP="007420EF"/>
    <w:p w14:paraId="1D9E4FD7" w14:textId="1006D90A" w:rsidR="00652DE9" w:rsidRDefault="00652DE9" w:rsidP="006E5145"/>
    <w:p w14:paraId="71C120D5" w14:textId="3AD314EB" w:rsidR="001021F3" w:rsidRDefault="00E31D86" w:rsidP="00E31D86">
      <w:pPr>
        <w:pStyle w:val="Heading3"/>
      </w:pPr>
      <w:r>
        <w:t>Time, energy, and money</w:t>
      </w:r>
    </w:p>
    <w:p w14:paraId="4ED6475A" w14:textId="3A164189" w:rsidR="00E31D86" w:rsidRDefault="00E31D86" w:rsidP="00E31D86"/>
    <w:p w14:paraId="1B512AA9" w14:textId="33A3F692" w:rsidR="00CF29B5" w:rsidRPr="00E31D86" w:rsidRDefault="00E31D86" w:rsidP="00CF29B5">
      <w:r>
        <w:lastRenderedPageBreak/>
        <w:t xml:space="preserve">The practice of research is always constrained by time, energy, and money. </w:t>
      </w:r>
      <w:r w:rsidR="008A733B">
        <w:t>TPC</w:t>
      </w:r>
      <w:r>
        <w:t xml:space="preserve"> needs to talk about these things more and acknowledge the vast range of privilege that some researchers have compared to others. I cannot deny </w:t>
      </w:r>
      <w:r w:rsidR="00E52355">
        <w:t>my own privilege at being at large research institutions</w:t>
      </w:r>
      <w:r w:rsidR="007420EF">
        <w:t xml:space="preserve"> that afforded time and resources for research and </w:t>
      </w:r>
      <w:r w:rsidR="00E52355">
        <w:t xml:space="preserve">at having the financial means to </w:t>
      </w:r>
      <w:r w:rsidR="007420EF">
        <w:t>self-support</w:t>
      </w:r>
      <w:r w:rsidR="00E52355">
        <w:t xml:space="preserve"> </w:t>
      </w:r>
      <w:r w:rsidR="00BB7F7A">
        <w:t>additional</w:t>
      </w:r>
      <w:r w:rsidR="00E52355">
        <w:t xml:space="preserve"> costs of this </w:t>
      </w:r>
      <w:r w:rsidR="007420EF">
        <w:t xml:space="preserve">project. </w:t>
      </w:r>
    </w:p>
    <w:p w14:paraId="02DCF15A" w14:textId="13DE68F1" w:rsidR="00E31D86" w:rsidRDefault="00E31D86" w:rsidP="00E31D86"/>
    <w:p w14:paraId="6B5EA554" w14:textId="647537FD" w:rsidR="007420EF" w:rsidRDefault="007420EF" w:rsidP="00E31D86">
      <w:r>
        <w:t xml:space="preserve">As I mentioned in the acknowledgements, much of this project I have done alone, but the last several years I have had research assistants, which likely led to it being finished at all. That was not automatic. I negotiated </w:t>
      </w:r>
      <w:r w:rsidR="00612EC2">
        <w:t>for research assistants when I was hired</w:t>
      </w:r>
      <w:r>
        <w:t xml:space="preserve"> </w:t>
      </w:r>
      <w:r w:rsidR="009A6416">
        <w:t xml:space="preserve">at USF </w:t>
      </w:r>
      <w:r>
        <w:t>and when I agreed to be interim chair</w:t>
      </w:r>
      <w:r w:rsidR="00612EC2">
        <w:t xml:space="preserve"> (since the college paid for them at that time)</w:t>
      </w:r>
      <w:r>
        <w:t xml:space="preserve">. </w:t>
      </w:r>
    </w:p>
    <w:p w14:paraId="6C0CFD4B" w14:textId="495E2360" w:rsidR="007420EF" w:rsidRDefault="007420EF" w:rsidP="00E31D86"/>
    <w:p w14:paraId="35A124EB" w14:textId="6FF56CFF" w:rsidR="00E31D86" w:rsidRDefault="00612EC2" w:rsidP="00201113">
      <w:r>
        <w:t>D</w:t>
      </w:r>
      <w:r w:rsidR="007420EF">
        <w:t xml:space="preserve">ata driven projects like this one take even more time, energy, and money to collect the data. </w:t>
      </w:r>
      <w:r w:rsidR="003C38A3">
        <w:t xml:space="preserve">Outside of a </w:t>
      </w:r>
      <w:r w:rsidR="009A6416">
        <w:t xml:space="preserve">$1500 </w:t>
      </w:r>
      <w:r w:rsidR="003C38A3">
        <w:t xml:space="preserve">CPTSC grant in the early days of this project, I have self-funded it. </w:t>
      </w:r>
      <w:r w:rsidR="007420EF">
        <w:t xml:space="preserve">Through the years, I have spent about $10,000 out of my own pocket in paying for different aspects of this project to move </w:t>
      </w:r>
      <w:r>
        <w:t xml:space="preserve">it </w:t>
      </w:r>
      <w:r w:rsidR="007420EF">
        <w:t>forward.</w:t>
      </w:r>
      <w:r w:rsidR="00D67925">
        <w:rPr>
          <w:rStyle w:val="FootnoteReference"/>
        </w:rPr>
        <w:footnoteReference w:id="32"/>
      </w:r>
      <w:r w:rsidR="007420EF">
        <w:t xml:space="preserve"> </w:t>
      </w:r>
      <w:r w:rsidR="008A733B">
        <w:t xml:space="preserve">I have also consistently argued for departmental or college support with varying degrees of success. </w:t>
      </w:r>
      <w:r w:rsidR="007420EF">
        <w:t xml:space="preserve">TPC has few options for research support at the field level, and as many faculty know, finding hard dollars or extra research </w:t>
      </w:r>
      <w:r w:rsidR="00201113">
        <w:t xml:space="preserve">time is difficult in humanities departments and colleges—no matter where one works. </w:t>
      </w:r>
    </w:p>
    <w:p w14:paraId="0DCE4474" w14:textId="3D24E065" w:rsidR="00201113" w:rsidRDefault="00201113" w:rsidP="00201113"/>
    <w:p w14:paraId="4F6D653A" w14:textId="024057E1" w:rsidR="00E31D86" w:rsidRDefault="00201113" w:rsidP="00CF29B5">
      <w:r>
        <w:t xml:space="preserve">There is no </w:t>
      </w:r>
      <w:r w:rsidR="00CF29B5">
        <w:t>big</w:t>
      </w:r>
      <w:r>
        <w:t xml:space="preserve"> takeaway here except to acknowledge these costs out loud and to encourage others to continue to talk about the specific research practices and the costs involved.</w:t>
      </w:r>
      <w:r w:rsidR="00CF29B5">
        <w:t xml:space="preserve"> Particularly when “</w:t>
      </w:r>
      <w:r w:rsidR="00CF29B5" w:rsidRPr="00CF29B5">
        <w:t>knowledge infrastructures are expensive to construct and maintain because they must support data collection, analysis, use, and access to information over the long term” (Borgman et al., 2016, p. 2).</w:t>
      </w:r>
      <w:r w:rsidR="00CF29B5">
        <w:t xml:space="preserve"> I have been asked numerous times what happens next to not only this data and with my own research around programs. I do not have an easy answer to either. To sustain the data</w:t>
      </w:r>
      <w:r w:rsidR="008A733B">
        <w:t xml:space="preserve"> by </w:t>
      </w:r>
      <w:r w:rsidR="00CF29B5">
        <w:t>updat</w:t>
      </w:r>
      <w:r w:rsidR="008A733B">
        <w:t>ing</w:t>
      </w:r>
      <w:r w:rsidR="00CF29B5">
        <w:t xml:space="preserve"> it in similar ways and in a similar structure would take likely </w:t>
      </w:r>
      <w:r w:rsidR="008A733B">
        <w:t xml:space="preserve">take </w:t>
      </w:r>
      <w:r w:rsidR="00CF29B5">
        <w:t>$3000-$5000 dollars a year</w:t>
      </w:r>
      <w:r w:rsidR="00612EC2">
        <w:t xml:space="preserve"> based on going rates for research support. </w:t>
      </w:r>
      <w:r w:rsidR="00CF29B5">
        <w:t>I leave it to the field to open conversations not only about knowledge infrastructures such as this one,</w:t>
      </w:r>
      <w:r w:rsidR="008A733B">
        <w:rPr>
          <w:rStyle w:val="FootnoteReference"/>
        </w:rPr>
        <w:footnoteReference w:id="33"/>
      </w:r>
      <w:r w:rsidR="00CF29B5">
        <w:t xml:space="preserve"> but other data collection as well. </w:t>
      </w:r>
    </w:p>
    <w:p w14:paraId="026466A1" w14:textId="60C1E5B5" w:rsidR="00C67EED" w:rsidRDefault="00C67EED" w:rsidP="006E5145"/>
    <w:p w14:paraId="09964BF1" w14:textId="1A24F6D1" w:rsidR="00C67EED" w:rsidRDefault="00C67EED" w:rsidP="00C67EED">
      <w:pPr>
        <w:pStyle w:val="Heading1"/>
      </w:pPr>
      <w:r>
        <w:t>Programmatic Sustainability via Continuous Improvement</w:t>
      </w:r>
    </w:p>
    <w:p w14:paraId="47D23092" w14:textId="6E65DC4A" w:rsidR="00045932" w:rsidRDefault="00E31D86" w:rsidP="00CF29B5">
      <w:r>
        <w:t xml:space="preserve">While I started this chapter with an epigram from Descartes about his own </w:t>
      </w:r>
      <w:r w:rsidR="00CF29B5">
        <w:t>misgivings</w:t>
      </w:r>
      <w:r>
        <w:t xml:space="preserve"> </w:t>
      </w:r>
      <w:r w:rsidR="00CF29B5">
        <w:t xml:space="preserve">about </w:t>
      </w:r>
      <w:r>
        <w:t>what he may have learned</w:t>
      </w:r>
      <w:r w:rsidR="007C3835">
        <w:t>,</w:t>
      </w:r>
      <w:r>
        <w:t xml:space="preserve"> I still wonder some days if there was a way to do this project without as many hard lessons learned</w:t>
      </w:r>
      <w:r w:rsidR="00612EC2">
        <w:t xml:space="preserve">. </w:t>
      </w:r>
      <w:r>
        <w:t xml:space="preserve">I find solace in the fact that I did the best I could </w:t>
      </w:r>
      <w:proofErr w:type="spellStart"/>
      <w:r>
        <w:t>based</w:t>
      </w:r>
      <w:proofErr w:type="spellEnd"/>
      <w:r>
        <w:t xml:space="preserve"> on what I knew a</w:t>
      </w:r>
      <w:r w:rsidR="00612EC2">
        <w:t>nd</w:t>
      </w:r>
      <w:r>
        <w:t xml:space="preserve"> the time I had to devote to the project. </w:t>
      </w:r>
      <w:proofErr w:type="gramStart"/>
      <w:r w:rsidR="00CF29B5">
        <w:t>Both of these</w:t>
      </w:r>
      <w:proofErr w:type="gramEnd"/>
      <w:r w:rsidR="00CF29B5">
        <w:t xml:space="preserve"> factors—knowledge and time—are not unusual in research projects, and </w:t>
      </w:r>
      <w:proofErr w:type="gramStart"/>
      <w:r w:rsidR="00CF29B5">
        <w:t>definitely not</w:t>
      </w:r>
      <w:proofErr w:type="gramEnd"/>
      <w:r w:rsidR="00CF29B5">
        <w:t xml:space="preserve"> unusual in longitudinal ones. </w:t>
      </w:r>
    </w:p>
    <w:p w14:paraId="0480DA2D" w14:textId="77777777" w:rsidR="00CF29B5" w:rsidRDefault="00CF29B5" w:rsidP="00CF29B5"/>
    <w:p w14:paraId="573650CF" w14:textId="680B9BDA" w:rsidR="00612EC2" w:rsidRDefault="00CF29B5" w:rsidP="00612EC2">
      <w:pPr>
        <w:autoSpaceDE w:val="0"/>
        <w:autoSpaceDN w:val="0"/>
        <w:adjustRightInd w:val="0"/>
      </w:pPr>
      <w:r>
        <w:lastRenderedPageBreak/>
        <w:t>The best place to end a chapter such as this is to connect the methodologies, methods and practices back to a consistent theme in this book</w:t>
      </w:r>
      <w:r w:rsidR="00181BAB">
        <w:t>: sustainability. “S</w:t>
      </w:r>
      <w:r w:rsidR="00181BAB" w:rsidRPr="00CF29B5">
        <w:t>ustainable research is that which can be replicated and confirmed, refuted, or modified through such iterative testing, and it must be considered trustworthy through its transparency of conducting and describing the actual research process</w:t>
      </w:r>
      <w:r w:rsidR="00181BAB">
        <w:t>” (</w:t>
      </w:r>
      <w:r w:rsidR="00181BAB" w:rsidRPr="00CF29B5">
        <w:t xml:space="preserve">Melonçon </w:t>
      </w:r>
      <w:r w:rsidR="00181BAB">
        <w:t xml:space="preserve">&amp; </w:t>
      </w:r>
      <w:proofErr w:type="gramStart"/>
      <w:r w:rsidR="00181BAB">
        <w:t>S</w:t>
      </w:r>
      <w:r w:rsidR="00181BAB" w:rsidRPr="00CF29B5">
        <w:t>t.Amant</w:t>
      </w:r>
      <w:proofErr w:type="gramEnd"/>
      <w:r w:rsidR="00181BAB">
        <w:t>,</w:t>
      </w:r>
      <w:r w:rsidR="00181BAB" w:rsidRPr="00CF29B5">
        <w:t xml:space="preserve"> 2019</w:t>
      </w:r>
      <w:r w:rsidR="00E02494">
        <w:t>,</w:t>
      </w:r>
      <w:r w:rsidR="00181BAB" w:rsidRPr="00CF29B5">
        <w:t xml:space="preserve"> p. 131</w:t>
      </w:r>
      <w:r w:rsidR="00181BAB">
        <w:t>)</w:t>
      </w:r>
      <w:r w:rsidR="00612EC2">
        <w:t>. O</w:t>
      </w:r>
      <w:r w:rsidR="00181BAB">
        <w:t xml:space="preserve">ne way of considering sustainable research is through continuous improvement. </w:t>
      </w:r>
      <w:r w:rsidR="00BB36DE">
        <w:t xml:space="preserve">With Joanna </w:t>
      </w:r>
      <w:r w:rsidR="00A67EEB">
        <w:t>Schreiber</w:t>
      </w:r>
      <w:r w:rsidR="00BB36DE">
        <w:t xml:space="preserve"> (201</w:t>
      </w:r>
      <w:r w:rsidR="005D203D">
        <w:t>9</w:t>
      </w:r>
      <w:r w:rsidR="00BB36DE">
        <w:t xml:space="preserve">), we created a continuous improvement model for higher education that moves to achieve deep programmatic sustainability. Our model, </w:t>
      </w:r>
      <w:r w:rsidR="00BB36DE">
        <w:rPr>
          <w:rFonts w:eastAsia="Times New Roman" w:cs="Times New Roman"/>
        </w:rPr>
        <w:t>GRAM (Gather--Read--Analyze--Make) affords a mechanism for an integrative, holistic approach to program administration</w:t>
      </w:r>
      <w:r>
        <w:rPr>
          <w:rFonts w:eastAsia="Times New Roman" w:cs="Times New Roman"/>
        </w:rPr>
        <w:t xml:space="preserve"> and evaluation. </w:t>
      </w:r>
      <w:r w:rsidR="00BB36DE">
        <w:t xml:space="preserve">Borrowed from workplace management practices and efficiency management techniques, continuous improvement models look to “long-term improvement and effectiveness (sustainability) rather than short-term gains” (p. 258). I end this chapter on methodology, methods, and practices with a turn to GRAM because it came about because of programmatic research. We felt </w:t>
      </w:r>
      <w:r w:rsidR="00E31D86">
        <w:t xml:space="preserve">TPC </w:t>
      </w:r>
      <w:r w:rsidR="00BB36DE">
        <w:t xml:space="preserve">needed this sort of approach to program evaluation because at the time, we could find no published literature that described how to perform iterative programmatic evaluation. </w:t>
      </w:r>
    </w:p>
    <w:p w14:paraId="413A33E1" w14:textId="77777777" w:rsidR="00612EC2" w:rsidRDefault="00612EC2" w:rsidP="00612EC2">
      <w:pPr>
        <w:autoSpaceDE w:val="0"/>
        <w:autoSpaceDN w:val="0"/>
        <w:adjustRightInd w:val="0"/>
      </w:pPr>
    </w:p>
    <w:p w14:paraId="3F5740CE" w14:textId="194D8D7E" w:rsidR="00E31D86" w:rsidRDefault="00BB36DE" w:rsidP="00612EC2">
      <w:pPr>
        <w:autoSpaceDE w:val="0"/>
        <w:autoSpaceDN w:val="0"/>
        <w:adjustRightInd w:val="0"/>
      </w:pPr>
      <w:r>
        <w:t>The longitudinal nature of this project, while not intended</w:t>
      </w:r>
      <w:r w:rsidR="00612EC2">
        <w:t xml:space="preserve"> at first</w:t>
      </w:r>
      <w:r>
        <w:t xml:space="preserve">, made clear the need for TPC to take programmatic research more seriously and more deliberately. GRAM is but one approach that can inform methodological decisions, as well as guide method and practices. </w:t>
      </w:r>
      <w:r w:rsidR="007173EA">
        <w:t xml:space="preserve">In some ways, one can see GRAM as a practical theory </w:t>
      </w:r>
      <w:r w:rsidR="00CF29B5">
        <w:t>driven by</w:t>
      </w:r>
      <w:r w:rsidR="007173EA">
        <w:t xml:space="preserve"> basic research questions like the ones about programs identified at the start of this chapter.</w:t>
      </w:r>
      <w:r w:rsidR="00CF29B5">
        <w:t xml:space="preserve"> </w:t>
      </w:r>
      <w:r w:rsidR="00181BAB">
        <w:t xml:space="preserve">When the field has </w:t>
      </w:r>
      <w:proofErr w:type="gramStart"/>
      <w:r w:rsidR="00181BAB">
        <w:t>data</w:t>
      </w:r>
      <w:proofErr w:type="gramEnd"/>
      <w:r w:rsidR="00181BAB">
        <w:t xml:space="preserve"> it means that programmatic decisions can be made beyond intuition and show what is </w:t>
      </w:r>
      <w:proofErr w:type="gramStart"/>
      <w:r w:rsidR="00181BAB">
        <w:t>actually happening</w:t>
      </w:r>
      <w:proofErr w:type="gramEnd"/>
      <w:r w:rsidR="00181BAB">
        <w:t xml:space="preserve"> in degree programs and what problems and opportunities are available for starting, budling, and sustaining degree programs. </w:t>
      </w:r>
      <w:r w:rsidR="00612EC2">
        <w:t xml:space="preserve">Sustainability also </w:t>
      </w:r>
      <w:proofErr w:type="gramStart"/>
      <w:r w:rsidR="00612EC2">
        <w:t>opens up</w:t>
      </w:r>
      <w:proofErr w:type="gramEnd"/>
      <w:r w:rsidR="00612EC2">
        <w:t xml:space="preserve"> opportunities for imagination, for ways to think of programs differently. </w:t>
      </w:r>
    </w:p>
    <w:p w14:paraId="7EF0E043" w14:textId="77777777" w:rsidR="00E31D86" w:rsidRDefault="00E31D86" w:rsidP="00C67EED"/>
    <w:p w14:paraId="173F230A" w14:textId="6A8DD4FE" w:rsidR="00B32B18" w:rsidRPr="006E5145" w:rsidRDefault="007173EA" w:rsidP="006E5145">
      <w:r>
        <w:t xml:space="preserve">Field-wide studies work toward understanding TPC programs outside of singular local context, </w:t>
      </w:r>
      <w:r w:rsidR="00612EC2">
        <w:t xml:space="preserve">and field-wide </w:t>
      </w:r>
      <w:r>
        <w:t xml:space="preserve">data </w:t>
      </w:r>
      <w:r w:rsidR="00612EC2">
        <w:t xml:space="preserve">are </w:t>
      </w:r>
      <w:r>
        <w:t xml:space="preserve">vital </w:t>
      </w:r>
      <w:r w:rsidR="00612EC2">
        <w:t xml:space="preserve">for local decision making. </w:t>
      </w:r>
      <w:r w:rsidR="0061463C">
        <w:t>Data driven programmatic work focuses on open</w:t>
      </w:r>
      <w:r>
        <w:t>-</w:t>
      </w:r>
      <w:r w:rsidR="0061463C">
        <w:t xml:space="preserve">ended problem solving or in working through ways to better meet the needs of </w:t>
      </w:r>
      <w:r>
        <w:t xml:space="preserve">students, who enter our programs. </w:t>
      </w:r>
      <w:r w:rsidR="00612EC2">
        <w:t xml:space="preserve">It requires an administrative imagination to bring together data and local contexts and TPC literature to build and sustain programs for student success. </w:t>
      </w:r>
      <w:r w:rsidR="00003D73">
        <w:t xml:space="preserve">TPC needs to transcend, move beyond data as facts and see data as something that needs to be engaged, challenged, changed, enacted. I hope the </w:t>
      </w:r>
      <w:r w:rsidR="00612EC2">
        <w:t>next five chapters</w:t>
      </w:r>
      <w:r w:rsidR="00E02494">
        <w:t>—then revelations of the book’s title—</w:t>
      </w:r>
      <w:r w:rsidR="00003D73">
        <w:t xml:space="preserve">present </w:t>
      </w:r>
      <w:r w:rsidR="00612EC2">
        <w:t>the field</w:t>
      </w:r>
      <w:r w:rsidR="00E02494">
        <w:t>-</w:t>
      </w:r>
      <w:r w:rsidR="00612EC2">
        <w:t xml:space="preserve">wide </w:t>
      </w:r>
      <w:r w:rsidR="00003D73">
        <w:t xml:space="preserve">data </w:t>
      </w:r>
      <w:r w:rsidR="00E02494">
        <w:t xml:space="preserve">in a way to </w:t>
      </w:r>
      <w:r w:rsidR="00003D73">
        <w:t xml:space="preserve">inspire readers to </w:t>
      </w:r>
      <w:r w:rsidR="00E02494">
        <w:t>contemplate what the revelations can tell TPC PAs and faculty about programs</w:t>
      </w:r>
      <w:r w:rsidR="00004A29">
        <w:t xml:space="preserve"> and then inspire their imaginations. </w:t>
      </w:r>
    </w:p>
    <w:sectPr w:rsidR="00B32B18" w:rsidRPr="006E5145" w:rsidSect="00D31075">
      <w:footerReference w:type="even"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96E8" w14:textId="77777777" w:rsidR="007E740F" w:rsidRDefault="007E740F" w:rsidP="00CB0B72">
      <w:r>
        <w:separator/>
      </w:r>
    </w:p>
  </w:endnote>
  <w:endnote w:type="continuationSeparator" w:id="0">
    <w:p w14:paraId="0DE0712A" w14:textId="77777777" w:rsidR="007E740F" w:rsidRDefault="007E740F" w:rsidP="00CB0B72">
      <w:r>
        <w:continuationSeparator/>
      </w:r>
    </w:p>
  </w:endnote>
  <w:endnote w:type="continuationNotice" w:id="1">
    <w:p w14:paraId="294989E7" w14:textId="77777777" w:rsidR="007E740F" w:rsidRDefault="007E74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panose1 w:val="020B0300000000000000"/>
    <w:charset w:val="4E"/>
    <w:family w:val="auto"/>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Times New Roman (Arabic)">
    <w:altName w:val="Arial"/>
    <w:panose1 w:val="020B0604020202020204"/>
    <w:charset w:val="B2"/>
    <w:family w:val="roman"/>
    <w:notTrueType/>
    <w:pitch w:val="variable"/>
    <w:sig w:usb0="00002001" w:usb1="00000000" w:usb2="00000000" w:usb3="00000000" w:csb0="00000040" w:csb1="00000000"/>
  </w:font>
  <w:font w:name="Lucida Grande">
    <w:panose1 w:val="020B0600040502020204"/>
    <w:charset w:val="00"/>
    <w:family w:val="swiss"/>
    <w:pitch w:val="variable"/>
    <w:sig w:usb0="E1000AEF" w:usb1="5000A1FF" w:usb2="00000000" w:usb3="00000000" w:csb0="000001BF" w:csb1="00000000"/>
  </w:font>
  <w:font w:name="Merriweather">
    <w:panose1 w:val="00000500000000000000"/>
    <w:charset w:val="4D"/>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1848245"/>
      <w:docPartObj>
        <w:docPartGallery w:val="Page Numbers (Bottom of Page)"/>
        <w:docPartUnique/>
      </w:docPartObj>
    </w:sdtPr>
    <w:sdtContent>
      <w:p w14:paraId="3637D162" w14:textId="4FDAA2E2" w:rsidR="00CB0B72" w:rsidRDefault="00CB0B72" w:rsidP="006769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33C50">
          <w:rPr>
            <w:rStyle w:val="PageNumber"/>
            <w:noProof/>
          </w:rPr>
          <w:t>1</w:t>
        </w:r>
        <w:r>
          <w:rPr>
            <w:rStyle w:val="PageNumber"/>
          </w:rPr>
          <w:fldChar w:fldCharType="end"/>
        </w:r>
      </w:p>
    </w:sdtContent>
  </w:sdt>
  <w:p w14:paraId="4C10A932" w14:textId="77777777" w:rsidR="00CB0B72" w:rsidRDefault="00CB0B72" w:rsidP="00CB0B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7203256"/>
      <w:docPartObj>
        <w:docPartGallery w:val="Page Numbers (Bottom of Page)"/>
        <w:docPartUnique/>
      </w:docPartObj>
    </w:sdtPr>
    <w:sdtContent>
      <w:p w14:paraId="69FDB892" w14:textId="3F8408FD" w:rsidR="00CB0B72" w:rsidRDefault="00CB0B72" w:rsidP="006769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66775C" w14:textId="77777777" w:rsidR="00CB0B72" w:rsidRDefault="00CB0B72" w:rsidP="00CB0B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71C64" w14:textId="77777777" w:rsidR="007E740F" w:rsidRDefault="007E740F" w:rsidP="00CB0B72">
      <w:r>
        <w:separator/>
      </w:r>
    </w:p>
  </w:footnote>
  <w:footnote w:type="continuationSeparator" w:id="0">
    <w:p w14:paraId="52C69389" w14:textId="77777777" w:rsidR="007E740F" w:rsidRDefault="007E740F" w:rsidP="00CB0B72">
      <w:r>
        <w:continuationSeparator/>
      </w:r>
    </w:p>
  </w:footnote>
  <w:footnote w:type="continuationNotice" w:id="1">
    <w:p w14:paraId="32C6FB91" w14:textId="77777777" w:rsidR="007E740F" w:rsidRDefault="007E740F"/>
  </w:footnote>
  <w:footnote w:id="2">
    <w:p w14:paraId="368BC463" w14:textId="640CE4BB" w:rsidR="00DB2827" w:rsidRDefault="00DB2827">
      <w:pPr>
        <w:pStyle w:val="FootnoteText"/>
      </w:pPr>
      <w:r>
        <w:rPr>
          <w:rStyle w:val="FootnoteReference"/>
        </w:rPr>
        <w:footnoteRef/>
      </w:r>
      <w:r>
        <w:t xml:space="preserve"> I use this phrase “reflexive methodology” to mean the necessary ethical reflection that should be performed during research. I do not cite </w:t>
      </w:r>
      <w:r w:rsidR="008A28FF">
        <w:t xml:space="preserve">it within the text because there is no one work that led me to my own practice. Rather, my reflexivity started when I </w:t>
      </w:r>
      <w:r w:rsidR="00251CCD">
        <w:t xml:space="preserve">learned and embraced </w:t>
      </w:r>
      <w:r w:rsidR="008A28FF">
        <w:t>the tenets of community-based participatory research</w:t>
      </w:r>
      <w:r w:rsidR="00025FA6">
        <w:t xml:space="preserve"> </w:t>
      </w:r>
      <w:r w:rsidR="00251CCD">
        <w:t xml:space="preserve">from an environmental health perspective </w:t>
      </w:r>
      <w:r w:rsidR="00025FA6" w:rsidRPr="00251CCD">
        <w:t>(Israel</w:t>
      </w:r>
      <w:r w:rsidR="00251CCD" w:rsidRPr="00251CCD">
        <w:t xml:space="preserve"> et al. 2012; Minkler &amp; Wallerstein, 2011; O’Fallon &amp; Dearry, 2002</w:t>
      </w:r>
      <w:r w:rsidR="00025FA6" w:rsidRPr="00251CCD">
        <w:t>)</w:t>
      </w:r>
      <w:r w:rsidR="008A28FF">
        <w:t xml:space="preserve">, and the literature on reflection and reflexivity in that area is vast. In recent years there has been some strong work that has further influenced my thinking </w:t>
      </w:r>
      <w:r w:rsidR="00025FA6">
        <w:t xml:space="preserve">of </w:t>
      </w:r>
      <w:r w:rsidR="008A28FF">
        <w:t xml:space="preserve">this concept. Some of these include </w:t>
      </w:r>
      <w:r w:rsidR="00AC3D1B">
        <w:t xml:space="preserve">communication researchers, </w:t>
      </w:r>
      <w:proofErr w:type="spellStart"/>
      <w:r w:rsidR="00251CCD">
        <w:t>Shaunuk</w:t>
      </w:r>
      <w:proofErr w:type="spellEnd"/>
      <w:r w:rsidR="00251CCD">
        <w:t xml:space="preserve"> </w:t>
      </w:r>
      <w:r w:rsidR="008A28FF">
        <w:t>Sastry</w:t>
      </w:r>
      <w:r w:rsidR="00251CCD">
        <w:t xml:space="preserve"> and Ambar </w:t>
      </w:r>
      <w:r w:rsidR="008A28FF">
        <w:t>Basu</w:t>
      </w:r>
      <w:r w:rsidR="00251CCD">
        <w:t xml:space="preserve"> (2020)</w:t>
      </w:r>
      <w:r w:rsidR="00633410">
        <w:t xml:space="preserve"> </w:t>
      </w:r>
      <w:r w:rsidR="00251CCD">
        <w:t xml:space="preserve">when they discuss </w:t>
      </w:r>
      <w:r w:rsidR="008A28FF">
        <w:t>critical research (</w:t>
      </w:r>
      <w:r w:rsidR="00251CCD">
        <w:t xml:space="preserve">which </w:t>
      </w:r>
      <w:r w:rsidR="008A28FF">
        <w:t xml:space="preserve">is research that addresses erasure and directly looks at issues of power); </w:t>
      </w:r>
      <w:r w:rsidR="00AC3D1B">
        <w:t xml:space="preserve">sociologists, </w:t>
      </w:r>
      <w:r w:rsidR="00251CCD">
        <w:t xml:space="preserve">Mario </w:t>
      </w:r>
      <w:r w:rsidR="008A28FF">
        <w:t>Small</w:t>
      </w:r>
      <w:r w:rsidR="00251CCD">
        <w:t xml:space="preserve"> and Jessica </w:t>
      </w:r>
      <w:r w:rsidR="008A28FF">
        <w:t>Calarco</w:t>
      </w:r>
      <w:r w:rsidR="00251CCD">
        <w:t xml:space="preserve"> (2022)</w:t>
      </w:r>
      <w:r w:rsidR="008A28FF">
        <w:t xml:space="preserve"> when working with ethnographic and interview research; and the </w:t>
      </w:r>
      <w:r w:rsidR="008A28FF" w:rsidRPr="008313A2">
        <w:t xml:space="preserve">Critical </w:t>
      </w:r>
      <w:r w:rsidR="00025FA6" w:rsidRPr="008313A2">
        <w:t>M</w:t>
      </w:r>
      <w:r w:rsidR="008A28FF" w:rsidRPr="008313A2">
        <w:t>ethodologies Collective</w:t>
      </w:r>
      <w:r w:rsidR="00251CCD" w:rsidRPr="008313A2">
        <w:t xml:space="preserve"> (2022)</w:t>
      </w:r>
      <w:r w:rsidR="008A28FF" w:rsidRPr="008313A2">
        <w:t>.</w:t>
      </w:r>
    </w:p>
  </w:footnote>
  <w:footnote w:id="3">
    <w:p w14:paraId="594E131A" w14:textId="5CD1C519" w:rsidR="00025FA6" w:rsidRPr="00850D69" w:rsidRDefault="00025FA6">
      <w:pPr>
        <w:pStyle w:val="FootnoteText"/>
        <w:rPr>
          <w:szCs w:val="18"/>
        </w:rPr>
      </w:pPr>
      <w:r>
        <w:rPr>
          <w:rStyle w:val="FootnoteReference"/>
        </w:rPr>
        <w:footnoteRef/>
      </w:r>
      <w:r>
        <w:t xml:space="preserve"> </w:t>
      </w:r>
      <w:r w:rsidRPr="00850D69">
        <w:rPr>
          <w:szCs w:val="18"/>
        </w:rPr>
        <w:t>I use sustainable and durable with an understanding that these terms are in and of themselves contested</w:t>
      </w:r>
      <w:r w:rsidR="00E51F87">
        <w:rPr>
          <w:szCs w:val="18"/>
        </w:rPr>
        <w:t>,</w:t>
      </w:r>
      <w:r w:rsidRPr="00850D69">
        <w:rPr>
          <w:szCs w:val="18"/>
        </w:rPr>
        <w:t xml:space="preserve"> and for some</w:t>
      </w:r>
      <w:r w:rsidR="002268B2">
        <w:rPr>
          <w:szCs w:val="18"/>
        </w:rPr>
        <w:t xml:space="preserve"> scholars,</w:t>
      </w:r>
      <w:r w:rsidRPr="00850D69">
        <w:rPr>
          <w:szCs w:val="18"/>
        </w:rPr>
        <w:t xml:space="preserve"> may not be some </w:t>
      </w:r>
      <w:r w:rsidR="002268B2">
        <w:rPr>
          <w:szCs w:val="18"/>
        </w:rPr>
        <w:t>their</w:t>
      </w:r>
      <w:r w:rsidRPr="00850D69">
        <w:rPr>
          <w:szCs w:val="18"/>
        </w:rPr>
        <w:t xml:space="preserve"> primary criteria for what </w:t>
      </w:r>
      <w:r w:rsidR="002268B2">
        <w:rPr>
          <w:szCs w:val="18"/>
        </w:rPr>
        <w:t>they</w:t>
      </w:r>
      <w:r w:rsidRPr="00850D69">
        <w:rPr>
          <w:szCs w:val="18"/>
        </w:rPr>
        <w:t xml:space="preserve"> may want from research. This argument is much too big and important to do here</w:t>
      </w:r>
      <w:r w:rsidR="002268B2">
        <w:rPr>
          <w:szCs w:val="18"/>
        </w:rPr>
        <w:t xml:space="preserve"> so I ask readers to take the terms at face value in the context of this chapter and to temporarily set aside their problematic connotation.</w:t>
      </w:r>
    </w:p>
  </w:footnote>
  <w:footnote w:id="4">
    <w:p w14:paraId="461A67B8" w14:textId="36298CF8" w:rsidR="001B649E" w:rsidRDefault="001B649E">
      <w:pPr>
        <w:pStyle w:val="FootnoteText"/>
      </w:pPr>
      <w:r>
        <w:rPr>
          <w:rStyle w:val="FootnoteReference"/>
        </w:rPr>
        <w:footnoteRef/>
      </w:r>
      <w:r>
        <w:t xml:space="preserve"> </w:t>
      </w:r>
      <w:r w:rsidR="00741DC4">
        <w:t>Since there are different interpretations of what the citation stylistic, e.g.., means, I want to make clear that the citations that follow for example (e.g.) are what I perceive as representative examples of the point being made. The citations</w:t>
      </w:r>
      <w:r w:rsidR="00687A0C">
        <w:t xml:space="preserve"> </w:t>
      </w:r>
      <w:r w:rsidR="00741DC4">
        <w:t>are not comprehensive.</w:t>
      </w:r>
      <w:r>
        <w:t xml:space="preserve"> </w:t>
      </w:r>
    </w:p>
  </w:footnote>
  <w:footnote w:id="5">
    <w:p w14:paraId="68BB4B8E" w14:textId="07070B67" w:rsidR="00307942" w:rsidRPr="00850D69" w:rsidRDefault="00307942">
      <w:pPr>
        <w:pStyle w:val="FootnoteText"/>
        <w:rPr>
          <w:szCs w:val="18"/>
        </w:rPr>
      </w:pPr>
      <w:r w:rsidRPr="00850D69">
        <w:rPr>
          <w:rStyle w:val="FootnoteReference"/>
          <w:szCs w:val="18"/>
        </w:rPr>
        <w:footnoteRef/>
      </w:r>
      <w:r w:rsidRPr="00850D69">
        <w:rPr>
          <w:szCs w:val="18"/>
        </w:rPr>
        <w:t xml:space="preserve"> Without doubt, I recognize that my view of the world of work is limited</w:t>
      </w:r>
      <w:r w:rsidR="00893B5B" w:rsidRPr="00850D69">
        <w:rPr>
          <w:szCs w:val="18"/>
        </w:rPr>
        <w:t xml:space="preserve"> to those organizations in which I have worked</w:t>
      </w:r>
      <w:r w:rsidRPr="00850D69">
        <w:rPr>
          <w:szCs w:val="18"/>
        </w:rPr>
        <w:t xml:space="preserve">. </w:t>
      </w:r>
      <w:r w:rsidR="00CC3394">
        <w:rPr>
          <w:szCs w:val="18"/>
        </w:rPr>
        <w:t xml:space="preserve">Even though I have worked with over 100+ organizations, this experiential knowledge is </w:t>
      </w:r>
      <w:r w:rsidR="00CE54CF">
        <w:rPr>
          <w:szCs w:val="18"/>
        </w:rPr>
        <w:t xml:space="preserve">not </w:t>
      </w:r>
      <w:r w:rsidR="00CC3394">
        <w:rPr>
          <w:szCs w:val="18"/>
        </w:rPr>
        <w:t xml:space="preserve">generalizable, but </w:t>
      </w:r>
      <w:r w:rsidRPr="00850D69">
        <w:rPr>
          <w:szCs w:val="18"/>
        </w:rPr>
        <w:t>certainly</w:t>
      </w:r>
      <w:r w:rsidR="00CE54CF">
        <w:rPr>
          <w:szCs w:val="18"/>
        </w:rPr>
        <w:t>, it</w:t>
      </w:r>
      <w:r w:rsidRPr="00850D69">
        <w:rPr>
          <w:szCs w:val="18"/>
        </w:rPr>
        <w:t xml:space="preserve"> has influenced my thinking about programs.</w:t>
      </w:r>
    </w:p>
  </w:footnote>
  <w:footnote w:id="6">
    <w:p w14:paraId="62C2DE6D" w14:textId="076BF067" w:rsidR="00AC3D1B" w:rsidRDefault="00AC3D1B">
      <w:pPr>
        <w:pStyle w:val="FootnoteText"/>
      </w:pPr>
      <w:r>
        <w:rPr>
          <w:rStyle w:val="FootnoteReference"/>
        </w:rPr>
        <w:footnoteRef/>
      </w:r>
      <w:r>
        <w:t xml:space="preserve"> Refer to references for full list.</w:t>
      </w:r>
    </w:p>
  </w:footnote>
  <w:footnote w:id="7">
    <w:p w14:paraId="627F27BE" w14:textId="572C7B41" w:rsidR="00875851" w:rsidRDefault="00875851">
      <w:pPr>
        <w:pStyle w:val="FootnoteText"/>
      </w:pPr>
      <w:r>
        <w:rPr>
          <w:rStyle w:val="FootnoteReference"/>
        </w:rPr>
        <w:footnoteRef/>
      </w:r>
      <w:r>
        <w:t xml:space="preserve"> Up until Fall, 2024, I was trained and worked in an English Department. It has been an </w:t>
      </w:r>
      <w:r w:rsidR="001618AA">
        <w:t>eye-opening</w:t>
      </w:r>
      <w:r>
        <w:t xml:space="preserve"> experience moving to another academic location. </w:t>
      </w:r>
    </w:p>
  </w:footnote>
  <w:footnote w:id="8">
    <w:p w14:paraId="034AFA31" w14:textId="05A9455C" w:rsidR="00633410" w:rsidRDefault="00633410">
      <w:pPr>
        <w:pStyle w:val="FootnoteText"/>
      </w:pPr>
      <w:r>
        <w:rPr>
          <w:rStyle w:val="FootnoteReference"/>
        </w:rPr>
        <w:footnoteRef/>
      </w:r>
      <w:r>
        <w:t xml:space="preserve"> </w:t>
      </w:r>
      <w:r w:rsidRPr="00633410">
        <w:rPr>
          <w:szCs w:val="18"/>
        </w:rPr>
        <w:t>As I was moving</w:t>
      </w:r>
      <w:r>
        <w:t xml:space="preserve"> </w:t>
      </w:r>
      <w:r w:rsidRPr="00633410">
        <w:t xml:space="preserve">institutional locations in 2017, I was encouraged by several people to finish the project with the data as </w:t>
      </w:r>
      <w:r w:rsidR="0031365A">
        <w:t xml:space="preserve">it was at that moment in time </w:t>
      </w:r>
      <w:r w:rsidRPr="00633410">
        <w:t>and simply make note of when the data was collected. I waffled for several years on whether to do that or do as I have done here and collect and verify all the data a “final” time. I opted for the latter because it made a messy project just a tiny bit cleaner, at least in ways of describing the data.</w:t>
      </w:r>
      <w:r>
        <w:t xml:space="preserve"> </w:t>
      </w:r>
    </w:p>
  </w:footnote>
  <w:footnote w:id="9">
    <w:p w14:paraId="3DA685BB" w14:textId="2DE3D39D" w:rsidR="00075A90" w:rsidRDefault="00075A90">
      <w:pPr>
        <w:pStyle w:val="FootnoteText"/>
      </w:pPr>
      <w:r>
        <w:rPr>
          <w:rStyle w:val="FootnoteReference"/>
        </w:rPr>
        <w:footnoteRef/>
      </w:r>
      <w:r>
        <w:t xml:space="preserve"> </w:t>
      </w:r>
      <w:r w:rsidR="007D02B6">
        <w:t>Refer to C</w:t>
      </w:r>
      <w:r>
        <w:t xml:space="preserve">hapter 3 for a more </w:t>
      </w:r>
      <w:r w:rsidR="007D02B6">
        <w:t>in-depth</w:t>
      </w:r>
      <w:r>
        <w:t xml:space="preserve"> discussion of names as they appear in programs and curricula. </w:t>
      </w:r>
    </w:p>
  </w:footnote>
  <w:footnote w:id="10">
    <w:p w14:paraId="657828D3" w14:textId="14186443" w:rsidR="004E0800" w:rsidRDefault="004E0800">
      <w:pPr>
        <w:pStyle w:val="FootnoteText"/>
      </w:pPr>
      <w:r>
        <w:rPr>
          <w:rStyle w:val="FootnoteReference"/>
        </w:rPr>
        <w:footnoteRef/>
      </w:r>
      <w:r>
        <w:t xml:space="preserve"> Refer to </w:t>
      </w:r>
      <w:r w:rsidR="00A15C81">
        <w:t>C</w:t>
      </w:r>
      <w:r>
        <w:t xml:space="preserve">hapter 3; English departments still house </w:t>
      </w:r>
      <w:proofErr w:type="gramStart"/>
      <w:r>
        <w:t>the majority of</w:t>
      </w:r>
      <w:proofErr w:type="gramEnd"/>
      <w:r>
        <w:t xml:space="preserve"> degree programs. </w:t>
      </w:r>
    </w:p>
  </w:footnote>
  <w:footnote w:id="11">
    <w:p w14:paraId="61A52022" w14:textId="7599FE85" w:rsidR="009068B7" w:rsidRDefault="009068B7">
      <w:pPr>
        <w:pStyle w:val="FootnoteText"/>
      </w:pPr>
      <w:r>
        <w:rPr>
          <w:rStyle w:val="FootnoteReference"/>
        </w:rPr>
        <w:footnoteRef/>
      </w:r>
      <w:r>
        <w:t xml:space="preserve"> Refer to Brenton Faber’s (2002) classic article, “</w:t>
      </w:r>
      <w:r w:rsidR="00DA47AF">
        <w:t>Professional identities: W</w:t>
      </w:r>
      <w:r>
        <w:t>hat</w:t>
      </w:r>
      <w:r w:rsidR="00E00E8B">
        <w:t xml:space="preserve"> is</w:t>
      </w:r>
      <w:r>
        <w:t xml:space="preserve"> professional </w:t>
      </w:r>
      <w:r w:rsidR="00E00E8B">
        <w:t xml:space="preserve">about professional communication?” and </w:t>
      </w:r>
      <w:r w:rsidR="00E00E8B" w:rsidRPr="00782602">
        <w:t>its follow</w:t>
      </w:r>
      <w:r w:rsidR="00DA47AF" w:rsidRPr="00782602">
        <w:t>-up</w:t>
      </w:r>
      <w:r w:rsidR="00E00E8B" w:rsidRPr="00782602">
        <w:t xml:space="preserve"> (2022).</w:t>
      </w:r>
      <w:r w:rsidR="00E00E8B">
        <w:t xml:space="preserve"> </w:t>
      </w:r>
    </w:p>
  </w:footnote>
  <w:footnote w:id="12">
    <w:p w14:paraId="6A2C67E2" w14:textId="77777777" w:rsidR="00322BB1" w:rsidRDefault="00322BB1" w:rsidP="00322BB1">
      <w:pPr>
        <w:pStyle w:val="FootnoteText"/>
      </w:pPr>
      <w:r>
        <w:rPr>
          <w:rStyle w:val="FootnoteReference"/>
        </w:rPr>
        <w:footnoteRef/>
      </w:r>
      <w:r>
        <w:t xml:space="preserve"> In </w:t>
      </w:r>
      <w:proofErr w:type="gramStart"/>
      <w:r>
        <w:t>January,</w:t>
      </w:r>
      <w:proofErr w:type="gramEnd"/>
      <w:r>
        <w:t xml:space="preserve"> 2025, the Society of Technical communication announced it was closing its doors after 72 years. In part, I would argue, this came about because of its inability to expand what it meant by a practitioner of technical and professional communication. In some ways, academic programs have been more progressive in preparing students for a more diverse array of professional opportunities than conceived of by STC. Students are finding value and employment in wide variety of industries. Chapter 10 discusses the expansion of professional and practitioner. </w:t>
      </w:r>
      <w:r w:rsidRPr="009D5F78">
        <w:rPr>
          <w:szCs w:val="18"/>
        </w:rPr>
        <w:t xml:space="preserve">Other related professional organizations include ACES: The society for editing; UXPA: user experience professional association; international TPC organizations such as </w:t>
      </w:r>
      <w:proofErr w:type="spellStart"/>
      <w:r w:rsidRPr="009D5F78">
        <w:rPr>
          <w:szCs w:val="18"/>
        </w:rPr>
        <w:t>Tekom</w:t>
      </w:r>
      <w:proofErr w:type="spellEnd"/>
      <w:r w:rsidRPr="009D5F78">
        <w:rPr>
          <w:szCs w:val="18"/>
        </w:rPr>
        <w:t xml:space="preserve"> or the European Association for Technical Communication; AMWA: American medical writers association; PRSA: Public Relations Society of America; Interaction Design Foundation; AIGA: American Institute of Graphic Arts; AMA; American Marketing Association; Grants Professionals Association; </w:t>
      </w:r>
      <w:r w:rsidRPr="009D5F78">
        <w:rPr>
          <w:rFonts w:cs="Times New Roman"/>
          <w:szCs w:val="18"/>
        </w:rPr>
        <w:t>American Council for Technology and Industry Advisory Council</w:t>
      </w:r>
      <w:r w:rsidRPr="009D5F78">
        <w:rPr>
          <w:rFonts w:cs="Times New Roman"/>
          <w:i/>
          <w:iCs/>
          <w:szCs w:val="18"/>
        </w:rPr>
        <w:t xml:space="preserve"> </w:t>
      </w:r>
      <w:r w:rsidRPr="009D5F78">
        <w:rPr>
          <w:szCs w:val="18"/>
        </w:rPr>
        <w:t>and the vast number of subject matter organizations such as those in engineering, planning, science, and project management, to name but a few.</w:t>
      </w:r>
      <w:r>
        <w:rPr>
          <w:sz w:val="20"/>
        </w:rPr>
        <w:t xml:space="preserve"> </w:t>
      </w:r>
      <w:r w:rsidRPr="003A0DAA">
        <w:rPr>
          <w:sz w:val="20"/>
        </w:rPr>
        <w:t xml:space="preserve"> </w:t>
      </w:r>
    </w:p>
  </w:footnote>
  <w:footnote w:id="13">
    <w:p w14:paraId="0E7A77D5" w14:textId="117CE4EA" w:rsidR="009D0763" w:rsidRDefault="009D0763" w:rsidP="009D0763">
      <w:pPr>
        <w:pStyle w:val="FootnoteText"/>
      </w:pPr>
      <w:r>
        <w:rPr>
          <w:rStyle w:val="FootnoteReference"/>
        </w:rPr>
        <w:footnoteRef/>
      </w:r>
      <w:r>
        <w:t xml:space="preserve"> I have added an “s” to Andrew </w:t>
      </w:r>
      <w:proofErr w:type="spellStart"/>
      <w:r>
        <w:t>Jolivétte’s</w:t>
      </w:r>
      <w:proofErr w:type="spellEnd"/>
      <w:r>
        <w:t xml:space="preserve"> term not to change it, but to emphasize that there is never one justice. Like so many things, justice is ties to a specific context, a situation, a time, a people, a community. To continue to use justice in the singular limits the </w:t>
      </w:r>
      <w:proofErr w:type="spellStart"/>
      <w:r>
        <w:t>inventional</w:t>
      </w:r>
      <w:proofErr w:type="spellEnd"/>
      <w:r>
        <w:t xml:space="preserve"> capacity of problem solving. Instead of thinking there is a singular problem to solve, scholars, practitioners, activists may be better served in considering the idea of justice is quite different based on contexts. In much the same move with feminisms, using justices highlights the breadth and at time incompatibilities of achieving justice.</w:t>
      </w:r>
    </w:p>
  </w:footnote>
  <w:footnote w:id="14">
    <w:p w14:paraId="4617AE91" w14:textId="67A84208" w:rsidR="00EB4973" w:rsidRDefault="00EB4973" w:rsidP="00EB4973">
      <w:pPr>
        <w:pStyle w:val="FootnoteText"/>
      </w:pPr>
      <w:r>
        <w:rPr>
          <w:rStyle w:val="FootnoteReference"/>
        </w:rPr>
        <w:footnoteRef/>
      </w:r>
      <w:r>
        <w:t xml:space="preserve"> The idea of changing the world and the work of programs in upholding </w:t>
      </w:r>
      <w:r w:rsidR="00AD0772">
        <w:t xml:space="preserve">and/or dismantling </w:t>
      </w:r>
      <w:r>
        <w:t xml:space="preserve">systemic issues of racism, ableism, classism, sexism, an intolerance for religious diversity and cultural diversity is discussed at length in </w:t>
      </w:r>
      <w:r w:rsidR="00AD0772">
        <w:t>C</w:t>
      </w:r>
      <w:r>
        <w:t xml:space="preserve">hapter </w:t>
      </w:r>
      <w:r w:rsidR="00A15C81">
        <w:t>9</w:t>
      </w:r>
      <w:r>
        <w:t xml:space="preserve">. </w:t>
      </w:r>
    </w:p>
  </w:footnote>
  <w:footnote w:id="15">
    <w:p w14:paraId="7666D471" w14:textId="200E2689" w:rsidR="00096BF2" w:rsidRDefault="00096BF2">
      <w:pPr>
        <w:pStyle w:val="FootnoteText"/>
      </w:pPr>
      <w:r>
        <w:rPr>
          <w:rStyle w:val="FootnoteReference"/>
        </w:rPr>
        <w:footnoteRef/>
      </w:r>
      <w:r>
        <w:t xml:space="preserve"> The use of this term</w:t>
      </w:r>
      <w:r w:rsidR="002C15F1">
        <w:t xml:space="preserve">, knowledge </w:t>
      </w:r>
      <w:r w:rsidR="00407B94">
        <w:t>infrastructure</w:t>
      </w:r>
      <w:r w:rsidR="002C15F1">
        <w:t>,</w:t>
      </w:r>
      <w:r>
        <w:t xml:space="preserve"> automatically limits it to its definition, and simultaneously signals a boundary. That is, I am aware of the growing body of work in rhetorical studies (broadly construed) on “infrastructure.” I do not engage that work here because it would take me too far afield from what I am trying to accomplish. Without doubt, programs are infrastructural, but that is a separate argument and discussion. </w:t>
      </w:r>
    </w:p>
  </w:footnote>
  <w:footnote w:id="16">
    <w:p w14:paraId="532DAFAE" w14:textId="20DF1F54" w:rsidR="001A2A05" w:rsidRDefault="001A2A05">
      <w:pPr>
        <w:pStyle w:val="FootnoteText"/>
      </w:pPr>
      <w:r>
        <w:rPr>
          <w:rStyle w:val="FootnoteReference"/>
        </w:rPr>
        <w:footnoteRef/>
      </w:r>
      <w:r>
        <w:t xml:space="preserve"> Refer to Chapter 3.</w:t>
      </w:r>
    </w:p>
  </w:footnote>
  <w:footnote w:id="17">
    <w:p w14:paraId="203FA903" w14:textId="0C8EB494" w:rsidR="000B75B5" w:rsidRDefault="000B75B5">
      <w:pPr>
        <w:pStyle w:val="FootnoteText"/>
      </w:pPr>
      <w:r>
        <w:rPr>
          <w:rStyle w:val="FootnoteReference"/>
        </w:rPr>
        <w:footnoteRef/>
      </w:r>
      <w:r>
        <w:t xml:space="preserve"> These were historical lists. </w:t>
      </w:r>
      <w:r w:rsidR="00322BB1">
        <w:t xml:space="preserve">From late 2023 until its closure in January 2025, the </w:t>
      </w:r>
      <w:r>
        <w:t xml:space="preserve">STC </w:t>
      </w:r>
      <w:r w:rsidR="002B0D5F">
        <w:t>refer</w:t>
      </w:r>
      <w:r w:rsidR="00322BB1">
        <w:t>red</w:t>
      </w:r>
      <w:r w:rsidR="002B0D5F">
        <w:t xml:space="preserve"> to my programmatic data</w:t>
      </w:r>
      <w:r>
        <w:t>; CPTSC has created something without a clear indication of how it came to be; and ATTW no longer hosts a list</w:t>
      </w:r>
      <w:r w:rsidR="002038BF">
        <w:t xml:space="preserve"> that I could locate</w:t>
      </w:r>
      <w:r>
        <w:t>.</w:t>
      </w:r>
    </w:p>
  </w:footnote>
  <w:footnote w:id="18">
    <w:p w14:paraId="4607E042" w14:textId="3C0CB776" w:rsidR="000B75B5" w:rsidRDefault="000B75B5">
      <w:pPr>
        <w:pStyle w:val="FootnoteText"/>
      </w:pPr>
      <w:r>
        <w:rPr>
          <w:rStyle w:val="FootnoteReference"/>
        </w:rPr>
        <w:footnoteRef/>
      </w:r>
      <w:r>
        <w:t xml:space="preserve"> There are a growing number of lists for programs</w:t>
      </w:r>
      <w:r w:rsidR="002B0D5F">
        <w:t xml:space="preserve"> via general web searches</w:t>
      </w:r>
      <w:r>
        <w:t xml:space="preserve">, particularly online programs, but from what I can gather many of them require a fee to be listed. It’s an interesting take on marketing, online advertising, and search engine optimization. </w:t>
      </w:r>
    </w:p>
  </w:footnote>
  <w:footnote w:id="19">
    <w:p w14:paraId="1E27C608" w14:textId="46ACED0E" w:rsidR="004A2B06" w:rsidRDefault="004A2B06" w:rsidP="004A2B06">
      <w:pPr>
        <w:pStyle w:val="FootnoteText"/>
      </w:pPr>
      <w:r>
        <w:rPr>
          <w:rStyle w:val="FootnoteReference"/>
        </w:rPr>
        <w:footnoteRef/>
      </w:r>
      <w:r>
        <w:t xml:space="preserve"> </w:t>
      </w:r>
      <w:r w:rsidR="00C9133E">
        <w:t xml:space="preserve">I am using comprehensive here loosely because it is an attempt to be comprehensive as possible at this moment. However, it is more than likely that programs have been missed. </w:t>
      </w:r>
    </w:p>
  </w:footnote>
  <w:footnote w:id="20">
    <w:p w14:paraId="34CA69B9" w14:textId="384B7BB7" w:rsidR="005976FB" w:rsidRDefault="005976FB">
      <w:pPr>
        <w:pStyle w:val="FootnoteText"/>
      </w:pPr>
      <w:r>
        <w:rPr>
          <w:rStyle w:val="FootnoteReference"/>
        </w:rPr>
        <w:footnoteRef/>
      </w:r>
      <w:r>
        <w:t xml:space="preserve"> The push to create CIP codes for writing outside of the generic English category owes much to the work of Louise Wetherbee Phelps. Refer to Louise Wetherbee Phelps</w:t>
      </w:r>
      <w:r w:rsidR="00AD2614">
        <w:t xml:space="preserve"> &amp;</w:t>
      </w:r>
      <w:r>
        <w:t xml:space="preserve"> John Ackerman, 2010 for more information on this project. </w:t>
      </w:r>
      <w:r w:rsidR="00D55771">
        <w:t xml:space="preserve">Refer to </w:t>
      </w:r>
      <w:r w:rsidR="00571016">
        <w:t>Chapter 3 more information.</w:t>
      </w:r>
    </w:p>
  </w:footnote>
  <w:footnote w:id="21">
    <w:p w14:paraId="5F36235D" w14:textId="6E817DEA" w:rsidR="00E004F8" w:rsidRDefault="00E004F8" w:rsidP="00E004F8">
      <w:pPr>
        <w:pStyle w:val="FootnoteText"/>
      </w:pPr>
      <w:r>
        <w:rPr>
          <w:rStyle w:val="FootnoteReference"/>
        </w:rPr>
        <w:footnoteRef/>
      </w:r>
      <w:r>
        <w:t xml:space="preserve"> </w:t>
      </w:r>
      <w:r w:rsidR="00E60E14">
        <w:t xml:space="preserve">The data in the online navigator tool is drawn from the </w:t>
      </w:r>
      <w:r w:rsidR="00E60E14" w:rsidRPr="00E60E14">
        <w:rPr>
          <w:rFonts w:cs="Times New Roman"/>
          <w:szCs w:val="18"/>
          <w:shd w:val="clear" w:color="auto" w:fill="FFFFFF"/>
        </w:rPr>
        <w:t>National Center for Education Statistics is the part of the United States Department of Education's Institute of Education Sciences</w:t>
      </w:r>
      <w:r w:rsidR="00E60E14">
        <w:rPr>
          <w:rFonts w:cs="Times New Roman"/>
          <w:szCs w:val="18"/>
          <w:shd w:val="clear" w:color="auto" w:fill="FFFFFF"/>
        </w:rPr>
        <w:t xml:space="preserve">. This data </w:t>
      </w:r>
      <w:r>
        <w:t>runs several years behind, i.e., data pulled at any moment will reference data several years back and the accuracy of the data relies on institutions to report accurately</w:t>
      </w:r>
      <w:r w:rsidR="00E60E14">
        <w:t>.</w:t>
      </w:r>
    </w:p>
  </w:footnote>
  <w:footnote w:id="22">
    <w:p w14:paraId="52940E09" w14:textId="20AA92BE" w:rsidR="004A2B06" w:rsidRDefault="004A2B06">
      <w:pPr>
        <w:pStyle w:val="FootnoteText"/>
      </w:pPr>
      <w:r>
        <w:rPr>
          <w:rStyle w:val="FootnoteReference"/>
        </w:rPr>
        <w:footnoteRef/>
      </w:r>
      <w:r>
        <w:t xml:space="preserve"> Even the course catalogs have changed over the course of this project. What started out as a listing of PDF links to what were likely printed catalogs are now all </w:t>
      </w:r>
      <w:proofErr w:type="gramStart"/>
      <w:r>
        <w:t>pretty standard</w:t>
      </w:r>
      <w:proofErr w:type="gramEnd"/>
      <w:r>
        <w:t xml:space="preserve"> with the educational technology company </w:t>
      </w:r>
      <w:r w:rsidR="00BE2764">
        <w:t xml:space="preserve">DIGARC (acquired in 2021 by </w:t>
      </w:r>
      <w:r w:rsidR="00DB7C26">
        <w:t>M</w:t>
      </w:r>
      <w:r w:rsidR="00BE2764">
        <w:t xml:space="preserve">odern </w:t>
      </w:r>
      <w:r w:rsidR="00DB7C26">
        <w:t>C</w:t>
      </w:r>
      <w:r w:rsidR="00BE2764">
        <w:t xml:space="preserve">ampus) and they offer the </w:t>
      </w:r>
      <w:proofErr w:type="spellStart"/>
      <w:r w:rsidR="00BE2764">
        <w:t>acalog</w:t>
      </w:r>
      <w:proofErr w:type="spellEnd"/>
      <w:r w:rsidR="00BE2764">
        <w:t xml:space="preserve"> system for “catalog and curriculum maintenance.”</w:t>
      </w:r>
    </w:p>
  </w:footnote>
  <w:footnote w:id="23">
    <w:p w14:paraId="384EA0FA" w14:textId="3270AE14" w:rsidR="00BE2764" w:rsidRDefault="00BE2764">
      <w:pPr>
        <w:pStyle w:val="FootnoteText"/>
      </w:pPr>
      <w:r>
        <w:rPr>
          <w:rStyle w:val="FootnoteReference"/>
        </w:rPr>
        <w:footnoteRef/>
      </w:r>
      <w:r>
        <w:t xml:space="preserve"> </w:t>
      </w:r>
      <w:r w:rsidR="00DB7C26">
        <w:t>T</w:t>
      </w:r>
      <w:r w:rsidRPr="00BE2764">
        <w:t>h</w:t>
      </w:r>
      <w:r>
        <w:t>ese</w:t>
      </w:r>
      <w:r w:rsidRPr="00BE2764">
        <w:t xml:space="preserve"> same institution</w:t>
      </w:r>
      <w:r>
        <w:t xml:space="preserve">s </w:t>
      </w:r>
      <w:r w:rsidRPr="00BE2764">
        <w:t>should be included on any list that is being compiled for writing majors more broadly (e.g., the list compiled by the now defunct NCTE/CCCC’s committee on the writing major).</w:t>
      </w:r>
    </w:p>
  </w:footnote>
  <w:footnote w:id="24">
    <w:p w14:paraId="49353311" w14:textId="338E7950" w:rsidR="00845C62" w:rsidRDefault="00845C62">
      <w:pPr>
        <w:pStyle w:val="FootnoteText"/>
      </w:pPr>
      <w:r>
        <w:rPr>
          <w:rStyle w:val="FootnoteReference"/>
        </w:rPr>
        <w:footnoteRef/>
      </w:r>
      <w:r>
        <w:t xml:space="preserve"> For those unfamiliar with excel, pivot tables are a feature of excel that calculates or summarizes data and shows comparisons, patterns, or trends depending on what pieces of the data are in conversation. Outside of the familiarity with excel, pivot tables were a big reason that I did not move to other software for this project. </w:t>
      </w:r>
    </w:p>
  </w:footnote>
  <w:footnote w:id="25">
    <w:p w14:paraId="10B8FE8F" w14:textId="76EA9640" w:rsidR="00D55771" w:rsidRDefault="00D55771">
      <w:pPr>
        <w:pStyle w:val="FootnoteText"/>
      </w:pPr>
      <w:r>
        <w:rPr>
          <w:rStyle w:val="FootnoteReference"/>
        </w:rPr>
        <w:footnoteRef/>
      </w:r>
      <w:r>
        <w:t xml:space="preserve"> Refer to Chapter 3 for </w:t>
      </w:r>
      <w:r w:rsidR="00845C62">
        <w:t>field wide findings and</w:t>
      </w:r>
      <w:r>
        <w:t xml:space="preserve"> related literature</w:t>
      </w:r>
      <w:r w:rsidR="00845C62">
        <w:t xml:space="preserve"> for administrative units and degree </w:t>
      </w:r>
      <w:proofErr w:type="gramStart"/>
      <w:r w:rsidR="00845C62">
        <w:t>names, and</w:t>
      </w:r>
      <w:proofErr w:type="gramEnd"/>
      <w:r w:rsidR="00845C62">
        <w:t xml:space="preserve"> also refer to</w:t>
      </w:r>
      <w:r w:rsidR="00466F84">
        <w:t xml:space="preserve"> </w:t>
      </w:r>
      <w:r w:rsidR="00490F5D">
        <w:t xml:space="preserve">data chapters </w:t>
      </w:r>
      <w:r w:rsidR="00466F84">
        <w:t xml:space="preserve">about specific degree types </w:t>
      </w:r>
      <w:r w:rsidR="00490F5D">
        <w:t>to learn more about administrative units and degree names as they apply to specific degree</w:t>
      </w:r>
      <w:r w:rsidR="00466F84">
        <w:t>s</w:t>
      </w:r>
      <w:r w:rsidR="00490F5D">
        <w:t>.</w:t>
      </w:r>
      <w:r w:rsidR="00845C62">
        <w:t xml:space="preserve"> </w:t>
      </w:r>
    </w:p>
  </w:footnote>
  <w:footnote w:id="26">
    <w:p w14:paraId="73785CF7" w14:textId="77777777" w:rsidR="00632334" w:rsidRDefault="00632334" w:rsidP="00632334">
      <w:pPr>
        <w:pStyle w:val="FootnoteText"/>
      </w:pPr>
      <w:r>
        <w:rPr>
          <w:rStyle w:val="FootnoteReference"/>
        </w:rPr>
        <w:footnoteRef/>
      </w:r>
      <w:r>
        <w:t xml:space="preserve"> My collaborators and I defined this term as “the internal process of ensuring that we applied the same code for like items” (p. 22).</w:t>
      </w:r>
    </w:p>
  </w:footnote>
  <w:footnote w:id="27">
    <w:p w14:paraId="5D3B9ACD" w14:textId="24D15A01" w:rsidR="00EA5EC6" w:rsidRDefault="00EA5EC6">
      <w:pPr>
        <w:pStyle w:val="FootnoteText"/>
      </w:pPr>
      <w:r>
        <w:rPr>
          <w:rStyle w:val="FootnoteReference"/>
        </w:rPr>
        <w:footnoteRef/>
      </w:r>
      <w:r>
        <w:t xml:space="preserve"> The shift to “we” in this paragraph was deliberate to underscore that much of the course coding work was done in collaboration with Sally Henschel</w:t>
      </w:r>
      <w:r w:rsidR="00B7010B">
        <w:t>, and to acknowledge that the words to describe this process originally appeared in our collaborative article (2013).</w:t>
      </w:r>
      <w:r>
        <w:t xml:space="preserve"> Her contributions to the course coding scheme made it possible for me to use that schema throughout this project. </w:t>
      </w:r>
    </w:p>
  </w:footnote>
  <w:footnote w:id="28">
    <w:p w14:paraId="6E0CF560" w14:textId="3E51A4E5" w:rsidR="00B71EEC" w:rsidRDefault="00B71EEC">
      <w:pPr>
        <w:pStyle w:val="FootnoteText"/>
      </w:pPr>
      <w:r>
        <w:rPr>
          <w:rStyle w:val="FootnoteReference"/>
        </w:rPr>
        <w:footnoteRef/>
      </w:r>
      <w:r>
        <w:t xml:space="preserve"> Additional information on course coding can be found in Chapter 3. Findings about courses can be found in the program specific data chapters.</w:t>
      </w:r>
    </w:p>
  </w:footnote>
  <w:footnote w:id="29">
    <w:p w14:paraId="5211D831" w14:textId="5D1EE340" w:rsidR="00021D79" w:rsidRDefault="00021D79">
      <w:pPr>
        <w:pStyle w:val="FootnoteText"/>
      </w:pPr>
      <w:r>
        <w:rPr>
          <w:rStyle w:val="FootnoteReference"/>
        </w:rPr>
        <w:footnoteRef/>
      </w:r>
      <w:r>
        <w:t xml:space="preserve"> </w:t>
      </w:r>
      <w:r w:rsidR="00F94644">
        <w:t xml:space="preserve">Saturation is the term that means no new insights are being gained from interviews. Quasi-saturation is a term my collaborators and I (2020a) defined as </w:t>
      </w:r>
      <w:r w:rsidR="00F94644" w:rsidRPr="00F94644">
        <w:rPr>
          <w:szCs w:val="18"/>
        </w:rPr>
        <w:t>to mean the point in qualitative data analysis where there is data saturation around key themes or concepts even if one is still gaining unique information based on participants</w:t>
      </w:r>
      <w:r w:rsidR="00F94644">
        <w:rPr>
          <w:szCs w:val="18"/>
        </w:rPr>
        <w:t>’</w:t>
      </w:r>
      <w:r w:rsidR="00F94644" w:rsidRPr="00F94644">
        <w:rPr>
          <w:szCs w:val="18"/>
        </w:rPr>
        <w:t xml:space="preserve"> experiences” (p.14)</w:t>
      </w:r>
      <w:r w:rsidR="00F94644">
        <w:rPr>
          <w:szCs w:val="18"/>
        </w:rPr>
        <w:t xml:space="preserve">. Others call this theme saturation, and it means that for some concepts or ideas there is no new information coming to light from the interviews. </w:t>
      </w:r>
    </w:p>
  </w:footnote>
  <w:footnote w:id="30">
    <w:p w14:paraId="6E450B75" w14:textId="321F65B9" w:rsidR="002C085E" w:rsidRDefault="002C085E">
      <w:pPr>
        <w:pStyle w:val="FootnoteText"/>
      </w:pPr>
      <w:r>
        <w:rPr>
          <w:rStyle w:val="FootnoteReference"/>
        </w:rPr>
        <w:footnoteRef/>
      </w:r>
      <w:r>
        <w:t xml:space="preserve"> </w:t>
      </w:r>
      <w:r w:rsidR="00421245">
        <w:t xml:space="preserve">Jessica </w:t>
      </w:r>
      <w:r>
        <w:t>Griffith</w:t>
      </w:r>
      <w:r w:rsidR="00601364">
        <w:t>, 2023</w:t>
      </w:r>
      <w:r>
        <w:t xml:space="preserve"> and </w:t>
      </w:r>
      <w:r w:rsidR="00421245">
        <w:t xml:space="preserve">Lynn </w:t>
      </w:r>
      <w:r>
        <w:t>Russell</w:t>
      </w:r>
      <w:r w:rsidR="00601364">
        <w:t xml:space="preserve">, </w:t>
      </w:r>
      <w:r w:rsidR="00421245">
        <w:t>2023</w:t>
      </w:r>
      <w:r w:rsidR="00CA4BA4">
        <w:t>.</w:t>
      </w:r>
    </w:p>
  </w:footnote>
  <w:footnote w:id="31">
    <w:p w14:paraId="5120D667" w14:textId="52C0047D" w:rsidR="005A7BE4" w:rsidRDefault="005A7BE4">
      <w:pPr>
        <w:pStyle w:val="FootnoteText"/>
      </w:pPr>
      <w:r>
        <w:rPr>
          <w:rStyle w:val="FootnoteReference"/>
        </w:rPr>
        <w:footnoteRef/>
      </w:r>
      <w:r>
        <w:t xml:space="preserve"> </w:t>
      </w:r>
      <w:r w:rsidR="004931A9">
        <w:t xml:space="preserve">One can refer to recent dissertations of </w:t>
      </w:r>
      <w:r w:rsidR="004931A9" w:rsidRPr="00D67925">
        <w:t>Griffith</w:t>
      </w:r>
      <w:r w:rsidR="00CA4BA4">
        <w:t xml:space="preserve">, </w:t>
      </w:r>
      <w:r w:rsidR="004931A9" w:rsidRPr="00D67925">
        <w:t xml:space="preserve">2023; Gubala, 2021; </w:t>
      </w:r>
      <w:r w:rsidR="00021D79" w:rsidRPr="00D67925">
        <w:t>Russell</w:t>
      </w:r>
      <w:r w:rsidR="004931A9" w:rsidRPr="00D67925">
        <w:t xml:space="preserve">, </w:t>
      </w:r>
      <w:r w:rsidR="00421245">
        <w:t>2023</w:t>
      </w:r>
      <w:r w:rsidR="00CA4BA4">
        <w:t>)</w:t>
      </w:r>
      <w:r w:rsidR="004931A9" w:rsidRPr="00D67925">
        <w:t>; and Zarlengo (2019), as</w:t>
      </w:r>
      <w:r w:rsidR="004931A9">
        <w:t xml:space="preserve"> well as recent research (Burry et al., 202</w:t>
      </w:r>
      <w:r w:rsidR="00A01AD1">
        <w:t>4</w:t>
      </w:r>
      <w:r w:rsidR="004931A9">
        <w:t>; Griffith et al., 202</w:t>
      </w:r>
      <w:r w:rsidR="00A01AD1">
        <w:t>4</w:t>
      </w:r>
      <w:r w:rsidR="004931A9">
        <w:t>; Sonnenberg et al, 202</w:t>
      </w:r>
      <w:r w:rsidR="00A01AD1">
        <w:t>4</w:t>
      </w:r>
      <w:r w:rsidR="004931A9">
        <w:t xml:space="preserve">). </w:t>
      </w:r>
    </w:p>
  </w:footnote>
  <w:footnote w:id="32">
    <w:p w14:paraId="334C2A93" w14:textId="61578532" w:rsidR="00D67925" w:rsidRDefault="00D67925">
      <w:pPr>
        <w:pStyle w:val="FootnoteText"/>
      </w:pPr>
      <w:r>
        <w:rPr>
          <w:rStyle w:val="FootnoteReference"/>
        </w:rPr>
        <w:footnoteRef/>
      </w:r>
      <w:r>
        <w:t xml:space="preserve"> </w:t>
      </w:r>
      <w:r w:rsidR="003C38A3">
        <w:t>I want to openly acknowledge my own</w:t>
      </w:r>
      <w:r>
        <w:t xml:space="preserve"> privilege </w:t>
      </w:r>
      <w:r w:rsidR="003C38A3">
        <w:t xml:space="preserve">in being able to afford to do this. </w:t>
      </w:r>
      <w:r>
        <w:t xml:space="preserve">I recognize </w:t>
      </w:r>
      <w:r w:rsidR="003C38A3">
        <w:t xml:space="preserve">this would not be possible for </w:t>
      </w:r>
      <w:r w:rsidR="009A6416">
        <w:t>most</w:t>
      </w:r>
      <w:r>
        <w:t xml:space="preserve"> academics</w:t>
      </w:r>
      <w:r w:rsidR="009A6416">
        <w:t>. My location at research schools and my ability to earn re-assigned time for research activities has also played a huge factor, and this</w:t>
      </w:r>
      <w:r>
        <w:t xml:space="preserve"> points to larger issues about research infrastructures in the humanities.</w:t>
      </w:r>
      <w:r w:rsidR="003C38A3">
        <w:t xml:space="preserve"> Part of th</w:t>
      </w:r>
      <w:r w:rsidR="009A6416">
        <w:t xml:space="preserve">e money I spent </w:t>
      </w:r>
      <w:r w:rsidR="003C38A3">
        <w:t xml:space="preserve">prepared the data for the research assistants to work on </w:t>
      </w:r>
      <w:r w:rsidR="005E4A10">
        <w:t xml:space="preserve">it in at varying points in 2022. </w:t>
      </w:r>
      <w:r w:rsidR="003C38A3">
        <w:t xml:space="preserve">Other money was for labor </w:t>
      </w:r>
      <w:r w:rsidR="009A6416">
        <w:t xml:space="preserve">on discrete parts of the project </w:t>
      </w:r>
      <w:r w:rsidR="003C38A3">
        <w:t xml:space="preserve">through the years and work on the database. </w:t>
      </w:r>
      <w:r w:rsidR="00D16521">
        <w:t xml:space="preserve">Ironically, part of the privilege that allowed me to pay for this project is connected to the fact that I worked as a tech comm consultant. </w:t>
      </w:r>
    </w:p>
  </w:footnote>
  <w:footnote w:id="33">
    <w:p w14:paraId="48076322" w14:textId="1B2B8F00" w:rsidR="008A733B" w:rsidRDefault="008A733B">
      <w:pPr>
        <w:pStyle w:val="FootnoteText"/>
      </w:pPr>
      <w:r>
        <w:rPr>
          <w:rStyle w:val="FootnoteReference"/>
        </w:rPr>
        <w:footnoteRef/>
      </w:r>
      <w:r>
        <w:t xml:space="preserve"> This point about knowledge infrastructures intersects with the work of </w:t>
      </w:r>
      <w:proofErr w:type="spellStart"/>
      <w:r>
        <w:t>Welhausen</w:t>
      </w:r>
      <w:proofErr w:type="spellEnd"/>
      <w:r>
        <w:t xml:space="preserve"> et al., 2023</w:t>
      </w:r>
      <w:r w:rsidR="005D203D">
        <w:t xml:space="preserve">, who are arguing for TPC to be more systematic in keeping and sharing data.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3BE8"/>
    <w:multiLevelType w:val="hybridMultilevel"/>
    <w:tmpl w:val="03C0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407A5"/>
    <w:multiLevelType w:val="hybridMultilevel"/>
    <w:tmpl w:val="8CA4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A75B4"/>
    <w:multiLevelType w:val="hybridMultilevel"/>
    <w:tmpl w:val="F1587B8A"/>
    <w:lvl w:ilvl="0" w:tplc="B59CA77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1709C"/>
    <w:multiLevelType w:val="hybridMultilevel"/>
    <w:tmpl w:val="DBF03698"/>
    <w:lvl w:ilvl="0" w:tplc="8A34726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900E2"/>
    <w:multiLevelType w:val="hybridMultilevel"/>
    <w:tmpl w:val="3CFA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A01AD3"/>
    <w:multiLevelType w:val="hybridMultilevel"/>
    <w:tmpl w:val="714C10DC"/>
    <w:lvl w:ilvl="0" w:tplc="8A34726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74619"/>
    <w:multiLevelType w:val="hybridMultilevel"/>
    <w:tmpl w:val="C9428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957B28"/>
    <w:multiLevelType w:val="hybridMultilevel"/>
    <w:tmpl w:val="367A5542"/>
    <w:lvl w:ilvl="0" w:tplc="8A347260">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0E047A"/>
    <w:multiLevelType w:val="hybridMultilevel"/>
    <w:tmpl w:val="EDF6B98C"/>
    <w:lvl w:ilvl="0" w:tplc="9E72E46E">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75C6C"/>
    <w:multiLevelType w:val="hybridMultilevel"/>
    <w:tmpl w:val="E9CE2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1B7461"/>
    <w:multiLevelType w:val="hybridMultilevel"/>
    <w:tmpl w:val="FEF21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274B54"/>
    <w:multiLevelType w:val="hybridMultilevel"/>
    <w:tmpl w:val="1BB42AC4"/>
    <w:lvl w:ilvl="0" w:tplc="8A34726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A91B8C"/>
    <w:multiLevelType w:val="hybridMultilevel"/>
    <w:tmpl w:val="EF16C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784E7E"/>
    <w:multiLevelType w:val="hybridMultilevel"/>
    <w:tmpl w:val="022CA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416EA2"/>
    <w:multiLevelType w:val="hybridMultilevel"/>
    <w:tmpl w:val="3112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A91132"/>
    <w:multiLevelType w:val="hybridMultilevel"/>
    <w:tmpl w:val="9746CC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F552AE8"/>
    <w:multiLevelType w:val="hybridMultilevel"/>
    <w:tmpl w:val="8C1EE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E668C8"/>
    <w:multiLevelType w:val="hybridMultilevel"/>
    <w:tmpl w:val="226E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5B0F0D"/>
    <w:multiLevelType w:val="hybridMultilevel"/>
    <w:tmpl w:val="26305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703C4E"/>
    <w:multiLevelType w:val="hybridMultilevel"/>
    <w:tmpl w:val="54C0D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F06699"/>
    <w:multiLevelType w:val="hybridMultilevel"/>
    <w:tmpl w:val="6E36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73733C"/>
    <w:multiLevelType w:val="hybridMultilevel"/>
    <w:tmpl w:val="400E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99795C"/>
    <w:multiLevelType w:val="hybridMultilevel"/>
    <w:tmpl w:val="31782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AA2528"/>
    <w:multiLevelType w:val="hybridMultilevel"/>
    <w:tmpl w:val="518CF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2811">
    <w:abstractNumId w:val="1"/>
  </w:num>
  <w:num w:numId="2" w16cid:durableId="1732657565">
    <w:abstractNumId w:val="14"/>
  </w:num>
  <w:num w:numId="3" w16cid:durableId="1235817978">
    <w:abstractNumId w:val="21"/>
  </w:num>
  <w:num w:numId="4" w16cid:durableId="1599826166">
    <w:abstractNumId w:val="2"/>
  </w:num>
  <w:num w:numId="5" w16cid:durableId="1463377698">
    <w:abstractNumId w:val="19"/>
  </w:num>
  <w:num w:numId="6" w16cid:durableId="1941600272">
    <w:abstractNumId w:val="8"/>
  </w:num>
  <w:num w:numId="7" w16cid:durableId="1347051288">
    <w:abstractNumId w:val="20"/>
  </w:num>
  <w:num w:numId="8" w16cid:durableId="2101444006">
    <w:abstractNumId w:val="4"/>
  </w:num>
  <w:num w:numId="9" w16cid:durableId="316880267">
    <w:abstractNumId w:val="15"/>
  </w:num>
  <w:num w:numId="10" w16cid:durableId="1272667103">
    <w:abstractNumId w:val="13"/>
  </w:num>
  <w:num w:numId="11" w16cid:durableId="1918635908">
    <w:abstractNumId w:val="16"/>
  </w:num>
  <w:num w:numId="12" w16cid:durableId="1538661290">
    <w:abstractNumId w:val="0"/>
  </w:num>
  <w:num w:numId="13" w16cid:durableId="575936240">
    <w:abstractNumId w:val="6"/>
  </w:num>
  <w:num w:numId="14" w16cid:durableId="1851599899">
    <w:abstractNumId w:val="12"/>
  </w:num>
  <w:num w:numId="15" w16cid:durableId="210962373">
    <w:abstractNumId w:val="10"/>
  </w:num>
  <w:num w:numId="16" w16cid:durableId="342510574">
    <w:abstractNumId w:val="9"/>
  </w:num>
  <w:num w:numId="17" w16cid:durableId="1781295334">
    <w:abstractNumId w:val="22"/>
  </w:num>
  <w:num w:numId="18" w16cid:durableId="586233794">
    <w:abstractNumId w:val="7"/>
  </w:num>
  <w:num w:numId="19" w16cid:durableId="2054622078">
    <w:abstractNumId w:val="5"/>
  </w:num>
  <w:num w:numId="20" w16cid:durableId="703755588">
    <w:abstractNumId w:val="3"/>
  </w:num>
  <w:num w:numId="21" w16cid:durableId="544101095">
    <w:abstractNumId w:val="11"/>
  </w:num>
  <w:num w:numId="22" w16cid:durableId="1992902872">
    <w:abstractNumId w:val="18"/>
  </w:num>
  <w:num w:numId="23" w16cid:durableId="2041123936">
    <w:abstractNumId w:val="17"/>
  </w:num>
  <w:num w:numId="24" w16cid:durableId="10845737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76"/>
    <w:rsid w:val="000001C2"/>
    <w:rsid w:val="00003D73"/>
    <w:rsid w:val="00004A29"/>
    <w:rsid w:val="00006123"/>
    <w:rsid w:val="00021D79"/>
    <w:rsid w:val="00025143"/>
    <w:rsid w:val="000259BE"/>
    <w:rsid w:val="00025FA6"/>
    <w:rsid w:val="00030D27"/>
    <w:rsid w:val="0003332D"/>
    <w:rsid w:val="000342B7"/>
    <w:rsid w:val="00036F1D"/>
    <w:rsid w:val="0004086E"/>
    <w:rsid w:val="000440FA"/>
    <w:rsid w:val="00045932"/>
    <w:rsid w:val="00051C3F"/>
    <w:rsid w:val="00051C9D"/>
    <w:rsid w:val="00054E38"/>
    <w:rsid w:val="000613B3"/>
    <w:rsid w:val="00062E93"/>
    <w:rsid w:val="00067DC1"/>
    <w:rsid w:val="00075A90"/>
    <w:rsid w:val="00094BDE"/>
    <w:rsid w:val="00095DBF"/>
    <w:rsid w:val="00096BF2"/>
    <w:rsid w:val="000979F0"/>
    <w:rsid w:val="000A227A"/>
    <w:rsid w:val="000A4EAF"/>
    <w:rsid w:val="000A7E10"/>
    <w:rsid w:val="000B2BDD"/>
    <w:rsid w:val="000B75B5"/>
    <w:rsid w:val="000C37B8"/>
    <w:rsid w:val="000C4F8E"/>
    <w:rsid w:val="000C54A0"/>
    <w:rsid w:val="000C5AD0"/>
    <w:rsid w:val="000D291A"/>
    <w:rsid w:val="000E2AC6"/>
    <w:rsid w:val="000F12DA"/>
    <w:rsid w:val="00101786"/>
    <w:rsid w:val="001021F3"/>
    <w:rsid w:val="00106742"/>
    <w:rsid w:val="001137E0"/>
    <w:rsid w:val="00113927"/>
    <w:rsid w:val="0011541B"/>
    <w:rsid w:val="00126180"/>
    <w:rsid w:val="00126873"/>
    <w:rsid w:val="00132919"/>
    <w:rsid w:val="0014791B"/>
    <w:rsid w:val="00150FEC"/>
    <w:rsid w:val="0016080E"/>
    <w:rsid w:val="00160871"/>
    <w:rsid w:val="001618AA"/>
    <w:rsid w:val="001623F2"/>
    <w:rsid w:val="0017438C"/>
    <w:rsid w:val="001773CA"/>
    <w:rsid w:val="00181BAB"/>
    <w:rsid w:val="0018361F"/>
    <w:rsid w:val="00183DE9"/>
    <w:rsid w:val="001854D8"/>
    <w:rsid w:val="00185879"/>
    <w:rsid w:val="00191F27"/>
    <w:rsid w:val="00192DE0"/>
    <w:rsid w:val="00194A19"/>
    <w:rsid w:val="001A2A05"/>
    <w:rsid w:val="001A3429"/>
    <w:rsid w:val="001A345A"/>
    <w:rsid w:val="001A3E0C"/>
    <w:rsid w:val="001B09B1"/>
    <w:rsid w:val="001B3544"/>
    <w:rsid w:val="001B3837"/>
    <w:rsid w:val="001B3A98"/>
    <w:rsid w:val="001B3E84"/>
    <w:rsid w:val="001B5147"/>
    <w:rsid w:val="001B649E"/>
    <w:rsid w:val="001B7CA6"/>
    <w:rsid w:val="001C1507"/>
    <w:rsid w:val="001C5DF5"/>
    <w:rsid w:val="001D256D"/>
    <w:rsid w:val="001D37BA"/>
    <w:rsid w:val="001D76FB"/>
    <w:rsid w:val="001D7795"/>
    <w:rsid w:val="001E5FB0"/>
    <w:rsid w:val="001E79BE"/>
    <w:rsid w:val="001F18E5"/>
    <w:rsid w:val="00200852"/>
    <w:rsid w:val="00201113"/>
    <w:rsid w:val="00202B0A"/>
    <w:rsid w:val="002038BF"/>
    <w:rsid w:val="002040EE"/>
    <w:rsid w:val="002119A6"/>
    <w:rsid w:val="00214696"/>
    <w:rsid w:val="002163A8"/>
    <w:rsid w:val="00217776"/>
    <w:rsid w:val="00220506"/>
    <w:rsid w:val="00220BA0"/>
    <w:rsid w:val="00223635"/>
    <w:rsid w:val="00225ABE"/>
    <w:rsid w:val="002268B2"/>
    <w:rsid w:val="0023594A"/>
    <w:rsid w:val="002428AC"/>
    <w:rsid w:val="00244BCB"/>
    <w:rsid w:val="00245536"/>
    <w:rsid w:val="0024718C"/>
    <w:rsid w:val="00251CCD"/>
    <w:rsid w:val="00251F26"/>
    <w:rsid w:val="00255F14"/>
    <w:rsid w:val="00256810"/>
    <w:rsid w:val="00257266"/>
    <w:rsid w:val="002611BB"/>
    <w:rsid w:val="00264168"/>
    <w:rsid w:val="00264E58"/>
    <w:rsid w:val="00265035"/>
    <w:rsid w:val="00267809"/>
    <w:rsid w:val="00267DB7"/>
    <w:rsid w:val="00272317"/>
    <w:rsid w:val="00272C58"/>
    <w:rsid w:val="002736B3"/>
    <w:rsid w:val="00274EB1"/>
    <w:rsid w:val="0028284F"/>
    <w:rsid w:val="00284D32"/>
    <w:rsid w:val="00284FE1"/>
    <w:rsid w:val="002862DA"/>
    <w:rsid w:val="00287615"/>
    <w:rsid w:val="00292E96"/>
    <w:rsid w:val="0029664F"/>
    <w:rsid w:val="002A001B"/>
    <w:rsid w:val="002A3142"/>
    <w:rsid w:val="002A3B6B"/>
    <w:rsid w:val="002B0D5F"/>
    <w:rsid w:val="002B0FA9"/>
    <w:rsid w:val="002B33F9"/>
    <w:rsid w:val="002B5256"/>
    <w:rsid w:val="002C085E"/>
    <w:rsid w:val="002C15F1"/>
    <w:rsid w:val="002C2EB8"/>
    <w:rsid w:val="002C683B"/>
    <w:rsid w:val="002D32D6"/>
    <w:rsid w:val="002E2283"/>
    <w:rsid w:val="002E4430"/>
    <w:rsid w:val="002E7F38"/>
    <w:rsid w:val="002F04AE"/>
    <w:rsid w:val="002F0AB5"/>
    <w:rsid w:val="002F13AB"/>
    <w:rsid w:val="002F1704"/>
    <w:rsid w:val="002F21D4"/>
    <w:rsid w:val="00307942"/>
    <w:rsid w:val="00311D51"/>
    <w:rsid w:val="0031365A"/>
    <w:rsid w:val="003141B2"/>
    <w:rsid w:val="003154C3"/>
    <w:rsid w:val="003158D5"/>
    <w:rsid w:val="003162D5"/>
    <w:rsid w:val="00320C00"/>
    <w:rsid w:val="00322BB1"/>
    <w:rsid w:val="003233E1"/>
    <w:rsid w:val="003311BD"/>
    <w:rsid w:val="00341B98"/>
    <w:rsid w:val="00342D49"/>
    <w:rsid w:val="003441C4"/>
    <w:rsid w:val="00351FA1"/>
    <w:rsid w:val="0035333A"/>
    <w:rsid w:val="00353AB9"/>
    <w:rsid w:val="00355A8A"/>
    <w:rsid w:val="0036715B"/>
    <w:rsid w:val="00372A16"/>
    <w:rsid w:val="0037794A"/>
    <w:rsid w:val="00380321"/>
    <w:rsid w:val="00381BAC"/>
    <w:rsid w:val="00382461"/>
    <w:rsid w:val="00391005"/>
    <w:rsid w:val="00396A4D"/>
    <w:rsid w:val="003A0DAA"/>
    <w:rsid w:val="003A5A62"/>
    <w:rsid w:val="003B2D63"/>
    <w:rsid w:val="003B61CC"/>
    <w:rsid w:val="003C06AE"/>
    <w:rsid w:val="003C160B"/>
    <w:rsid w:val="003C38A3"/>
    <w:rsid w:val="003C424A"/>
    <w:rsid w:val="003C4A79"/>
    <w:rsid w:val="003C4C1D"/>
    <w:rsid w:val="003D13C1"/>
    <w:rsid w:val="003E4948"/>
    <w:rsid w:val="003F00F5"/>
    <w:rsid w:val="003F26F6"/>
    <w:rsid w:val="003F3113"/>
    <w:rsid w:val="003F36D8"/>
    <w:rsid w:val="004026EF"/>
    <w:rsid w:val="0040424F"/>
    <w:rsid w:val="00407A80"/>
    <w:rsid w:val="00407ADC"/>
    <w:rsid w:val="00407B94"/>
    <w:rsid w:val="00421245"/>
    <w:rsid w:val="0043364C"/>
    <w:rsid w:val="00435635"/>
    <w:rsid w:val="00435D98"/>
    <w:rsid w:val="00437367"/>
    <w:rsid w:val="00442B40"/>
    <w:rsid w:val="00450662"/>
    <w:rsid w:val="0045118F"/>
    <w:rsid w:val="00463C65"/>
    <w:rsid w:val="00465222"/>
    <w:rsid w:val="004658FA"/>
    <w:rsid w:val="00466F84"/>
    <w:rsid w:val="00473818"/>
    <w:rsid w:val="00474255"/>
    <w:rsid w:val="00490F5D"/>
    <w:rsid w:val="00492D4F"/>
    <w:rsid w:val="004931A9"/>
    <w:rsid w:val="004A1951"/>
    <w:rsid w:val="004A2B06"/>
    <w:rsid w:val="004A4093"/>
    <w:rsid w:val="004A40F3"/>
    <w:rsid w:val="004B477D"/>
    <w:rsid w:val="004B5900"/>
    <w:rsid w:val="004B7E04"/>
    <w:rsid w:val="004D26A4"/>
    <w:rsid w:val="004E0800"/>
    <w:rsid w:val="004E1303"/>
    <w:rsid w:val="004E25BE"/>
    <w:rsid w:val="004E2DE8"/>
    <w:rsid w:val="004F132B"/>
    <w:rsid w:val="004F48CD"/>
    <w:rsid w:val="004F6089"/>
    <w:rsid w:val="005040CD"/>
    <w:rsid w:val="00505DCC"/>
    <w:rsid w:val="00512CEE"/>
    <w:rsid w:val="00513180"/>
    <w:rsid w:val="0051685D"/>
    <w:rsid w:val="00517ABD"/>
    <w:rsid w:val="00520B28"/>
    <w:rsid w:val="00521F8F"/>
    <w:rsid w:val="005301CE"/>
    <w:rsid w:val="00530576"/>
    <w:rsid w:val="0054338F"/>
    <w:rsid w:val="005464AC"/>
    <w:rsid w:val="00555B78"/>
    <w:rsid w:val="00557121"/>
    <w:rsid w:val="00564785"/>
    <w:rsid w:val="00564C18"/>
    <w:rsid w:val="00571016"/>
    <w:rsid w:val="00582350"/>
    <w:rsid w:val="005824DF"/>
    <w:rsid w:val="0058719C"/>
    <w:rsid w:val="00591F23"/>
    <w:rsid w:val="00596C85"/>
    <w:rsid w:val="005976FB"/>
    <w:rsid w:val="0059789A"/>
    <w:rsid w:val="005A7BE4"/>
    <w:rsid w:val="005C4E5E"/>
    <w:rsid w:val="005C5010"/>
    <w:rsid w:val="005D17E5"/>
    <w:rsid w:val="005D203D"/>
    <w:rsid w:val="005D4E38"/>
    <w:rsid w:val="005D606F"/>
    <w:rsid w:val="005E4A10"/>
    <w:rsid w:val="005E779C"/>
    <w:rsid w:val="00601364"/>
    <w:rsid w:val="00601D6E"/>
    <w:rsid w:val="0060228B"/>
    <w:rsid w:val="00603331"/>
    <w:rsid w:val="00604674"/>
    <w:rsid w:val="00605F4D"/>
    <w:rsid w:val="00612EC2"/>
    <w:rsid w:val="0061463C"/>
    <w:rsid w:val="00615AB0"/>
    <w:rsid w:val="00620AEB"/>
    <w:rsid w:val="006233D5"/>
    <w:rsid w:val="0062737A"/>
    <w:rsid w:val="00630219"/>
    <w:rsid w:val="00632334"/>
    <w:rsid w:val="00633410"/>
    <w:rsid w:val="006358B3"/>
    <w:rsid w:val="00643A2F"/>
    <w:rsid w:val="00645C01"/>
    <w:rsid w:val="006476B8"/>
    <w:rsid w:val="0065048C"/>
    <w:rsid w:val="00652DE9"/>
    <w:rsid w:val="006743C2"/>
    <w:rsid w:val="006747B4"/>
    <w:rsid w:val="00685280"/>
    <w:rsid w:val="00687A0C"/>
    <w:rsid w:val="0069403D"/>
    <w:rsid w:val="006A3686"/>
    <w:rsid w:val="006B6481"/>
    <w:rsid w:val="006B7C17"/>
    <w:rsid w:val="006C3982"/>
    <w:rsid w:val="006C3E4B"/>
    <w:rsid w:val="006C40D5"/>
    <w:rsid w:val="006C4B21"/>
    <w:rsid w:val="006D6A4E"/>
    <w:rsid w:val="006E0550"/>
    <w:rsid w:val="006E3B04"/>
    <w:rsid w:val="006E400B"/>
    <w:rsid w:val="006E5145"/>
    <w:rsid w:val="006E5AEF"/>
    <w:rsid w:val="006E7C8A"/>
    <w:rsid w:val="006F205A"/>
    <w:rsid w:val="00701C78"/>
    <w:rsid w:val="007173EA"/>
    <w:rsid w:val="00732135"/>
    <w:rsid w:val="00734029"/>
    <w:rsid w:val="00741DC4"/>
    <w:rsid w:val="007420EF"/>
    <w:rsid w:val="007475F5"/>
    <w:rsid w:val="007605F7"/>
    <w:rsid w:val="00762C5A"/>
    <w:rsid w:val="007705DD"/>
    <w:rsid w:val="0077070E"/>
    <w:rsid w:val="00772C51"/>
    <w:rsid w:val="00775468"/>
    <w:rsid w:val="007756AC"/>
    <w:rsid w:val="00777BE0"/>
    <w:rsid w:val="007809A5"/>
    <w:rsid w:val="00780DB7"/>
    <w:rsid w:val="00782602"/>
    <w:rsid w:val="00784990"/>
    <w:rsid w:val="00787E58"/>
    <w:rsid w:val="007A4E70"/>
    <w:rsid w:val="007B25D2"/>
    <w:rsid w:val="007B31A4"/>
    <w:rsid w:val="007C34DE"/>
    <w:rsid w:val="007C3835"/>
    <w:rsid w:val="007C5EC2"/>
    <w:rsid w:val="007C6C6C"/>
    <w:rsid w:val="007D02B6"/>
    <w:rsid w:val="007D729A"/>
    <w:rsid w:val="007E740F"/>
    <w:rsid w:val="007F10E9"/>
    <w:rsid w:val="007F3AA0"/>
    <w:rsid w:val="007F63BA"/>
    <w:rsid w:val="00800DAC"/>
    <w:rsid w:val="008139DB"/>
    <w:rsid w:val="008144C1"/>
    <w:rsid w:val="00815FFA"/>
    <w:rsid w:val="00830314"/>
    <w:rsid w:val="008313A2"/>
    <w:rsid w:val="00833C50"/>
    <w:rsid w:val="00845C62"/>
    <w:rsid w:val="00847281"/>
    <w:rsid w:val="00847834"/>
    <w:rsid w:val="00850D69"/>
    <w:rsid w:val="00851FB4"/>
    <w:rsid w:val="00853F4B"/>
    <w:rsid w:val="00854433"/>
    <w:rsid w:val="00854A08"/>
    <w:rsid w:val="00861518"/>
    <w:rsid w:val="00865BE6"/>
    <w:rsid w:val="00875851"/>
    <w:rsid w:val="00887150"/>
    <w:rsid w:val="00892371"/>
    <w:rsid w:val="00893B5B"/>
    <w:rsid w:val="008967C8"/>
    <w:rsid w:val="0089688D"/>
    <w:rsid w:val="008A28FF"/>
    <w:rsid w:val="008A351D"/>
    <w:rsid w:val="008A5EA7"/>
    <w:rsid w:val="008A62EB"/>
    <w:rsid w:val="008A733B"/>
    <w:rsid w:val="008C13F6"/>
    <w:rsid w:val="008C1594"/>
    <w:rsid w:val="008D2FE2"/>
    <w:rsid w:val="008D35B2"/>
    <w:rsid w:val="008E45FD"/>
    <w:rsid w:val="008E6A39"/>
    <w:rsid w:val="008E6E5C"/>
    <w:rsid w:val="008E7212"/>
    <w:rsid w:val="00904472"/>
    <w:rsid w:val="009062DB"/>
    <w:rsid w:val="009068B7"/>
    <w:rsid w:val="009105C7"/>
    <w:rsid w:val="00912FE7"/>
    <w:rsid w:val="00915EF4"/>
    <w:rsid w:val="009217D5"/>
    <w:rsid w:val="00934347"/>
    <w:rsid w:val="00937B43"/>
    <w:rsid w:val="009422BF"/>
    <w:rsid w:val="00950A62"/>
    <w:rsid w:val="009631DE"/>
    <w:rsid w:val="0098063E"/>
    <w:rsid w:val="00986784"/>
    <w:rsid w:val="009901FC"/>
    <w:rsid w:val="0099415B"/>
    <w:rsid w:val="009A0A81"/>
    <w:rsid w:val="009A6416"/>
    <w:rsid w:val="009B4A7A"/>
    <w:rsid w:val="009D0763"/>
    <w:rsid w:val="009D5F78"/>
    <w:rsid w:val="009E378B"/>
    <w:rsid w:val="009F236A"/>
    <w:rsid w:val="009F3FE8"/>
    <w:rsid w:val="00A00AE2"/>
    <w:rsid w:val="00A01AD1"/>
    <w:rsid w:val="00A037D0"/>
    <w:rsid w:val="00A0548E"/>
    <w:rsid w:val="00A068C5"/>
    <w:rsid w:val="00A15C81"/>
    <w:rsid w:val="00A15FF0"/>
    <w:rsid w:val="00A21BD6"/>
    <w:rsid w:val="00A22063"/>
    <w:rsid w:val="00A25771"/>
    <w:rsid w:val="00A330E6"/>
    <w:rsid w:val="00A4670C"/>
    <w:rsid w:val="00A5207F"/>
    <w:rsid w:val="00A5612A"/>
    <w:rsid w:val="00A561D3"/>
    <w:rsid w:val="00A60AA2"/>
    <w:rsid w:val="00A63926"/>
    <w:rsid w:val="00A67EEB"/>
    <w:rsid w:val="00A72767"/>
    <w:rsid w:val="00A760F1"/>
    <w:rsid w:val="00A81AFD"/>
    <w:rsid w:val="00A8434D"/>
    <w:rsid w:val="00A86D07"/>
    <w:rsid w:val="00A91488"/>
    <w:rsid w:val="00A9165E"/>
    <w:rsid w:val="00A91A1C"/>
    <w:rsid w:val="00A941ED"/>
    <w:rsid w:val="00A96AE4"/>
    <w:rsid w:val="00A9780F"/>
    <w:rsid w:val="00AA0827"/>
    <w:rsid w:val="00AA129E"/>
    <w:rsid w:val="00AA290B"/>
    <w:rsid w:val="00AB245D"/>
    <w:rsid w:val="00AB55E4"/>
    <w:rsid w:val="00AB754B"/>
    <w:rsid w:val="00AC2F7B"/>
    <w:rsid w:val="00AC3D1B"/>
    <w:rsid w:val="00AC546C"/>
    <w:rsid w:val="00AD0772"/>
    <w:rsid w:val="00AD25DA"/>
    <w:rsid w:val="00AD2614"/>
    <w:rsid w:val="00AF0FB6"/>
    <w:rsid w:val="00AF2559"/>
    <w:rsid w:val="00B0695B"/>
    <w:rsid w:val="00B07D90"/>
    <w:rsid w:val="00B14F8E"/>
    <w:rsid w:val="00B16550"/>
    <w:rsid w:val="00B168F3"/>
    <w:rsid w:val="00B24803"/>
    <w:rsid w:val="00B26FED"/>
    <w:rsid w:val="00B32B18"/>
    <w:rsid w:val="00B4687C"/>
    <w:rsid w:val="00B55C87"/>
    <w:rsid w:val="00B569DF"/>
    <w:rsid w:val="00B5777B"/>
    <w:rsid w:val="00B666FF"/>
    <w:rsid w:val="00B6732A"/>
    <w:rsid w:val="00B7010B"/>
    <w:rsid w:val="00B7128E"/>
    <w:rsid w:val="00B71EEC"/>
    <w:rsid w:val="00B72445"/>
    <w:rsid w:val="00B72D28"/>
    <w:rsid w:val="00B915E7"/>
    <w:rsid w:val="00BA3C95"/>
    <w:rsid w:val="00BB1F27"/>
    <w:rsid w:val="00BB36DE"/>
    <w:rsid w:val="00BB3B9A"/>
    <w:rsid w:val="00BB4A1B"/>
    <w:rsid w:val="00BB7F7A"/>
    <w:rsid w:val="00BC01EC"/>
    <w:rsid w:val="00BC62D6"/>
    <w:rsid w:val="00BC69DA"/>
    <w:rsid w:val="00BD6965"/>
    <w:rsid w:val="00BE2764"/>
    <w:rsid w:val="00BE5143"/>
    <w:rsid w:val="00BE775F"/>
    <w:rsid w:val="00BE7C98"/>
    <w:rsid w:val="00C0117F"/>
    <w:rsid w:val="00C104D3"/>
    <w:rsid w:val="00C1419C"/>
    <w:rsid w:val="00C143E9"/>
    <w:rsid w:val="00C15E9B"/>
    <w:rsid w:val="00C447B7"/>
    <w:rsid w:val="00C44ACF"/>
    <w:rsid w:val="00C44C9C"/>
    <w:rsid w:val="00C46F54"/>
    <w:rsid w:val="00C542B6"/>
    <w:rsid w:val="00C63C63"/>
    <w:rsid w:val="00C67EED"/>
    <w:rsid w:val="00C74A0C"/>
    <w:rsid w:val="00C86126"/>
    <w:rsid w:val="00C9133E"/>
    <w:rsid w:val="00CA4BA4"/>
    <w:rsid w:val="00CA6FCE"/>
    <w:rsid w:val="00CB0B72"/>
    <w:rsid w:val="00CB1990"/>
    <w:rsid w:val="00CB776C"/>
    <w:rsid w:val="00CC3394"/>
    <w:rsid w:val="00CC60CE"/>
    <w:rsid w:val="00CD43B3"/>
    <w:rsid w:val="00CD4408"/>
    <w:rsid w:val="00CE0229"/>
    <w:rsid w:val="00CE227C"/>
    <w:rsid w:val="00CE2923"/>
    <w:rsid w:val="00CE54CF"/>
    <w:rsid w:val="00CF27EA"/>
    <w:rsid w:val="00CF29B5"/>
    <w:rsid w:val="00CF7F56"/>
    <w:rsid w:val="00D02E32"/>
    <w:rsid w:val="00D16521"/>
    <w:rsid w:val="00D16C39"/>
    <w:rsid w:val="00D17A7C"/>
    <w:rsid w:val="00D20354"/>
    <w:rsid w:val="00D2293F"/>
    <w:rsid w:val="00D24375"/>
    <w:rsid w:val="00D3037C"/>
    <w:rsid w:val="00D31075"/>
    <w:rsid w:val="00D32EB3"/>
    <w:rsid w:val="00D41898"/>
    <w:rsid w:val="00D42D09"/>
    <w:rsid w:val="00D50DF5"/>
    <w:rsid w:val="00D52313"/>
    <w:rsid w:val="00D55771"/>
    <w:rsid w:val="00D635A2"/>
    <w:rsid w:val="00D6571E"/>
    <w:rsid w:val="00D667C4"/>
    <w:rsid w:val="00D67925"/>
    <w:rsid w:val="00D81DFE"/>
    <w:rsid w:val="00DA47AF"/>
    <w:rsid w:val="00DA532F"/>
    <w:rsid w:val="00DB2827"/>
    <w:rsid w:val="00DB411B"/>
    <w:rsid w:val="00DB5300"/>
    <w:rsid w:val="00DB6424"/>
    <w:rsid w:val="00DB7C26"/>
    <w:rsid w:val="00DC0A9B"/>
    <w:rsid w:val="00DC3030"/>
    <w:rsid w:val="00DC4249"/>
    <w:rsid w:val="00DD1089"/>
    <w:rsid w:val="00DD3093"/>
    <w:rsid w:val="00DE20EC"/>
    <w:rsid w:val="00DE6794"/>
    <w:rsid w:val="00DF086C"/>
    <w:rsid w:val="00DF5175"/>
    <w:rsid w:val="00DF61A2"/>
    <w:rsid w:val="00DF6BD8"/>
    <w:rsid w:val="00E004F8"/>
    <w:rsid w:val="00E0096E"/>
    <w:rsid w:val="00E00E8B"/>
    <w:rsid w:val="00E02494"/>
    <w:rsid w:val="00E31D86"/>
    <w:rsid w:val="00E33459"/>
    <w:rsid w:val="00E4108D"/>
    <w:rsid w:val="00E505E5"/>
    <w:rsid w:val="00E51F87"/>
    <w:rsid w:val="00E52355"/>
    <w:rsid w:val="00E5663B"/>
    <w:rsid w:val="00E6013A"/>
    <w:rsid w:val="00E60B7A"/>
    <w:rsid w:val="00E60E14"/>
    <w:rsid w:val="00E6203B"/>
    <w:rsid w:val="00E645AC"/>
    <w:rsid w:val="00E64EBC"/>
    <w:rsid w:val="00E657B9"/>
    <w:rsid w:val="00E6588D"/>
    <w:rsid w:val="00E65DEC"/>
    <w:rsid w:val="00E71211"/>
    <w:rsid w:val="00E72256"/>
    <w:rsid w:val="00E754AD"/>
    <w:rsid w:val="00E87085"/>
    <w:rsid w:val="00E87154"/>
    <w:rsid w:val="00E91C98"/>
    <w:rsid w:val="00E92992"/>
    <w:rsid w:val="00E95C2D"/>
    <w:rsid w:val="00EA32D5"/>
    <w:rsid w:val="00EA34F9"/>
    <w:rsid w:val="00EA40A1"/>
    <w:rsid w:val="00EA5EC6"/>
    <w:rsid w:val="00EA6A7B"/>
    <w:rsid w:val="00EB2DDD"/>
    <w:rsid w:val="00EB493A"/>
    <w:rsid w:val="00EB4973"/>
    <w:rsid w:val="00EB4C10"/>
    <w:rsid w:val="00EB5046"/>
    <w:rsid w:val="00EB7CFB"/>
    <w:rsid w:val="00EC0A99"/>
    <w:rsid w:val="00EC321F"/>
    <w:rsid w:val="00EC6EEC"/>
    <w:rsid w:val="00EE2C8A"/>
    <w:rsid w:val="00EE344E"/>
    <w:rsid w:val="00EF2E57"/>
    <w:rsid w:val="00EF6100"/>
    <w:rsid w:val="00F061B2"/>
    <w:rsid w:val="00F07D84"/>
    <w:rsid w:val="00F12B44"/>
    <w:rsid w:val="00F1347D"/>
    <w:rsid w:val="00F14940"/>
    <w:rsid w:val="00F17B2C"/>
    <w:rsid w:val="00F206BF"/>
    <w:rsid w:val="00F236BB"/>
    <w:rsid w:val="00F2400E"/>
    <w:rsid w:val="00F26521"/>
    <w:rsid w:val="00F272BF"/>
    <w:rsid w:val="00F3326D"/>
    <w:rsid w:val="00F377CD"/>
    <w:rsid w:val="00F47A7B"/>
    <w:rsid w:val="00F537FF"/>
    <w:rsid w:val="00F60A52"/>
    <w:rsid w:val="00F661F4"/>
    <w:rsid w:val="00F67BA2"/>
    <w:rsid w:val="00F76D98"/>
    <w:rsid w:val="00F8510A"/>
    <w:rsid w:val="00F90A8E"/>
    <w:rsid w:val="00F90DE2"/>
    <w:rsid w:val="00F94644"/>
    <w:rsid w:val="00F94CEF"/>
    <w:rsid w:val="00FA16E2"/>
    <w:rsid w:val="00FB7300"/>
    <w:rsid w:val="00FC0743"/>
    <w:rsid w:val="00FC2677"/>
    <w:rsid w:val="00FC7E65"/>
    <w:rsid w:val="00FD1597"/>
    <w:rsid w:val="00FD3388"/>
    <w:rsid w:val="00FD42C0"/>
    <w:rsid w:val="00FD46DD"/>
    <w:rsid w:val="00FD47BC"/>
    <w:rsid w:val="00FE3183"/>
    <w:rsid w:val="00FE3920"/>
    <w:rsid w:val="00FE7127"/>
    <w:rsid w:val="00FF7B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974E3"/>
  <w14:defaultImageDpi w14:val="300"/>
  <w15:docId w15:val="{5AB81C08-BA78-CD4E-A4C1-AF411B4E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E96"/>
    <w:rPr>
      <w:rFonts w:ascii="Times New Roman" w:hAnsi="Times New Roman"/>
    </w:rPr>
  </w:style>
  <w:style w:type="paragraph" w:styleId="Heading1">
    <w:name w:val="heading 1"/>
    <w:basedOn w:val="Normal"/>
    <w:next w:val="Normal"/>
    <w:link w:val="Heading1Char"/>
    <w:uiPriority w:val="9"/>
    <w:qFormat/>
    <w:rsid w:val="003154C3"/>
    <w:pPr>
      <w:keepNext/>
      <w:keepLines/>
      <w:outlineLvl w:val="0"/>
    </w:pPr>
    <w:rPr>
      <w:rFonts w:asciiTheme="majorHAnsi" w:eastAsiaTheme="majorEastAsia" w:hAnsiTheme="majorHAnsi" w:cstheme="majorBidi"/>
      <w:bCs/>
      <w:color w:val="000000" w:themeColor="text1"/>
      <w:sz w:val="32"/>
      <w:szCs w:val="32"/>
    </w:rPr>
  </w:style>
  <w:style w:type="paragraph" w:styleId="Heading2">
    <w:name w:val="heading 2"/>
    <w:basedOn w:val="Normal"/>
    <w:next w:val="Normal"/>
    <w:link w:val="Heading2Char"/>
    <w:uiPriority w:val="9"/>
    <w:unhideWhenUsed/>
    <w:qFormat/>
    <w:rsid w:val="000342B7"/>
    <w:pPr>
      <w:keepNext/>
      <w:keepLines/>
      <w:spacing w:before="100" w:beforeAutospacing="1" w:after="100" w:afterAutospacing="1"/>
      <w:outlineLvl w:val="1"/>
    </w:pPr>
    <w:rPr>
      <w:rFonts w:ascii="Calibri" w:eastAsia="Times New Roman" w:hAnsi="Calibri" w:cs="Times New Roman"/>
      <w:b/>
      <w:bCs/>
      <w:sz w:val="28"/>
      <w:szCs w:val="26"/>
    </w:rPr>
  </w:style>
  <w:style w:type="paragraph" w:styleId="Heading3">
    <w:name w:val="heading 3"/>
    <w:basedOn w:val="Normal"/>
    <w:next w:val="Normal"/>
    <w:link w:val="Heading3Char"/>
    <w:uiPriority w:val="9"/>
    <w:unhideWhenUsed/>
    <w:qFormat/>
    <w:rsid w:val="002B33F9"/>
    <w:pPr>
      <w:keepNext/>
      <w:keepLines/>
      <w:outlineLvl w:val="2"/>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42B7"/>
    <w:rPr>
      <w:rFonts w:ascii="Calibri" w:eastAsia="Times New Roman" w:hAnsi="Calibri" w:cs="Times New Roman"/>
      <w:b/>
      <w:bCs/>
      <w:sz w:val="28"/>
      <w:szCs w:val="26"/>
    </w:rPr>
  </w:style>
  <w:style w:type="character" w:customStyle="1" w:styleId="Heading3Char">
    <w:name w:val="Heading 3 Char"/>
    <w:basedOn w:val="DefaultParagraphFont"/>
    <w:link w:val="Heading3"/>
    <w:uiPriority w:val="9"/>
    <w:rsid w:val="002B33F9"/>
    <w:rPr>
      <w:rFonts w:ascii="Calibri" w:eastAsia="Times New Roman" w:hAnsi="Calibri" w:cs="Times New Roman"/>
      <w:b/>
      <w:bCs/>
    </w:rPr>
  </w:style>
  <w:style w:type="paragraph" w:styleId="ListParagraph">
    <w:name w:val="List Paragraph"/>
    <w:uiPriority w:val="34"/>
    <w:qFormat/>
    <w:rsid w:val="00062E93"/>
    <w:pPr>
      <w:ind w:left="720"/>
    </w:pPr>
    <w:rPr>
      <w:rFonts w:ascii="Times New Roman" w:eastAsia="ヒラギノ角ゴ Pro W3" w:hAnsi="Times New Roman" w:cs="Times New Roman"/>
      <w:color w:val="000000"/>
      <w:szCs w:val="20"/>
    </w:rPr>
  </w:style>
  <w:style w:type="character" w:customStyle="1" w:styleId="Heading1Char">
    <w:name w:val="Heading 1 Char"/>
    <w:basedOn w:val="DefaultParagraphFont"/>
    <w:link w:val="Heading1"/>
    <w:uiPriority w:val="9"/>
    <w:rsid w:val="003154C3"/>
    <w:rPr>
      <w:rFonts w:asciiTheme="majorHAnsi" w:eastAsiaTheme="majorEastAsia" w:hAnsiTheme="majorHAnsi" w:cstheme="majorBidi"/>
      <w:bCs/>
      <w:color w:val="000000" w:themeColor="text1"/>
      <w:sz w:val="32"/>
      <w:szCs w:val="32"/>
    </w:rPr>
  </w:style>
  <w:style w:type="character" w:styleId="CommentReference">
    <w:name w:val="annotation reference"/>
    <w:basedOn w:val="DefaultParagraphFont"/>
    <w:rsid w:val="00E87154"/>
    <w:rPr>
      <w:sz w:val="18"/>
      <w:szCs w:val="18"/>
    </w:rPr>
  </w:style>
  <w:style w:type="paragraph" w:styleId="CommentText">
    <w:name w:val="annotation text"/>
    <w:basedOn w:val="Normal"/>
    <w:link w:val="CommentTextChar"/>
    <w:rsid w:val="00E87154"/>
    <w:rPr>
      <w:rFonts w:eastAsia="Times New Roman" w:cs="Cambria"/>
    </w:rPr>
  </w:style>
  <w:style w:type="character" w:customStyle="1" w:styleId="CommentTextChar">
    <w:name w:val="Comment Text Char"/>
    <w:basedOn w:val="DefaultParagraphFont"/>
    <w:link w:val="CommentText"/>
    <w:rsid w:val="00E87154"/>
    <w:rPr>
      <w:rFonts w:ascii="Times New Roman" w:eastAsia="Times New Roman" w:hAnsi="Times New Roman" w:cs="Cambria"/>
    </w:rPr>
  </w:style>
  <w:style w:type="paragraph" w:styleId="Caption">
    <w:name w:val="caption"/>
    <w:next w:val="Normal"/>
    <w:uiPriority w:val="99"/>
    <w:rsid w:val="00E87154"/>
    <w:pPr>
      <w:spacing w:before="120"/>
      <w:jc w:val="center"/>
    </w:pPr>
    <w:rPr>
      <w:rFonts w:ascii="Arial" w:eastAsia="Times New Roman" w:hAnsi="Arial" w:cs="Times New Roman (Arabic)"/>
      <w:b/>
      <w:bCs/>
      <w:sz w:val="20"/>
      <w:szCs w:val="20"/>
    </w:rPr>
  </w:style>
  <w:style w:type="character" w:styleId="Hyperlink">
    <w:name w:val="Hyperlink"/>
    <w:basedOn w:val="DefaultParagraphFont"/>
    <w:uiPriority w:val="99"/>
    <w:unhideWhenUsed/>
    <w:rsid w:val="00E87154"/>
    <w:rPr>
      <w:color w:val="0000FF"/>
      <w:u w:val="single"/>
    </w:rPr>
  </w:style>
  <w:style w:type="paragraph" w:customStyle="1" w:styleId="biblio">
    <w:name w:val="biblio"/>
    <w:basedOn w:val="Normal"/>
    <w:qFormat/>
    <w:rsid w:val="00E87154"/>
    <w:pPr>
      <w:spacing w:line="480" w:lineRule="auto"/>
      <w:ind w:left="360" w:hanging="360"/>
    </w:pPr>
    <w:rPr>
      <w:rFonts w:eastAsia="Times New Roman" w:cs="Arial"/>
      <w:bCs/>
      <w:color w:val="000000"/>
    </w:rPr>
  </w:style>
  <w:style w:type="paragraph" w:styleId="DocumentMap">
    <w:name w:val="Document Map"/>
    <w:basedOn w:val="Normal"/>
    <w:link w:val="DocumentMapChar"/>
    <w:uiPriority w:val="99"/>
    <w:semiHidden/>
    <w:unhideWhenUsed/>
    <w:rsid w:val="00564785"/>
    <w:rPr>
      <w:rFonts w:ascii="Lucida Grande" w:hAnsi="Lucida Grande"/>
    </w:rPr>
  </w:style>
  <w:style w:type="character" w:customStyle="1" w:styleId="DocumentMapChar">
    <w:name w:val="Document Map Char"/>
    <w:basedOn w:val="DefaultParagraphFont"/>
    <w:link w:val="DocumentMap"/>
    <w:uiPriority w:val="99"/>
    <w:semiHidden/>
    <w:rsid w:val="00564785"/>
    <w:rPr>
      <w:rFonts w:ascii="Lucida Grande" w:hAnsi="Lucida Grande"/>
    </w:rPr>
  </w:style>
  <w:style w:type="paragraph" w:styleId="BalloonText">
    <w:name w:val="Balloon Text"/>
    <w:basedOn w:val="Normal"/>
    <w:link w:val="BalloonTextChar"/>
    <w:uiPriority w:val="99"/>
    <w:semiHidden/>
    <w:unhideWhenUsed/>
    <w:rsid w:val="00255F14"/>
    <w:rPr>
      <w:rFonts w:cs="Times New Roman"/>
      <w:sz w:val="18"/>
      <w:szCs w:val="18"/>
    </w:rPr>
  </w:style>
  <w:style w:type="character" w:customStyle="1" w:styleId="BalloonTextChar">
    <w:name w:val="Balloon Text Char"/>
    <w:basedOn w:val="DefaultParagraphFont"/>
    <w:link w:val="BalloonText"/>
    <w:uiPriority w:val="99"/>
    <w:semiHidden/>
    <w:rsid w:val="00255F14"/>
    <w:rPr>
      <w:rFonts w:ascii="Times New Roman" w:hAnsi="Times New Roman" w:cs="Times New Roman"/>
      <w:sz w:val="18"/>
      <w:szCs w:val="18"/>
    </w:rPr>
  </w:style>
  <w:style w:type="character" w:customStyle="1" w:styleId="apple-converted-space">
    <w:name w:val="apple-converted-space"/>
    <w:basedOn w:val="DefaultParagraphFont"/>
    <w:rsid w:val="00E92992"/>
  </w:style>
  <w:style w:type="character" w:styleId="Emphasis">
    <w:name w:val="Emphasis"/>
    <w:basedOn w:val="DefaultParagraphFont"/>
    <w:uiPriority w:val="20"/>
    <w:qFormat/>
    <w:rsid w:val="00E92992"/>
    <w:rPr>
      <w:i/>
      <w:iCs/>
    </w:rPr>
  </w:style>
  <w:style w:type="paragraph" w:styleId="NormalWeb">
    <w:name w:val="Normal (Web)"/>
    <w:basedOn w:val="Normal"/>
    <w:uiPriority w:val="99"/>
    <w:unhideWhenUsed/>
    <w:rsid w:val="009631DE"/>
    <w:pPr>
      <w:spacing w:before="100" w:beforeAutospacing="1" w:after="100" w:afterAutospacing="1"/>
    </w:pPr>
    <w:rPr>
      <w:rFonts w:eastAsia="Times New Roman" w:cs="Times New Roman"/>
    </w:rPr>
  </w:style>
  <w:style w:type="paragraph" w:styleId="Footer">
    <w:name w:val="footer"/>
    <w:basedOn w:val="Normal"/>
    <w:link w:val="FooterChar"/>
    <w:uiPriority w:val="99"/>
    <w:unhideWhenUsed/>
    <w:rsid w:val="00CB0B72"/>
    <w:pPr>
      <w:tabs>
        <w:tab w:val="center" w:pos="4680"/>
        <w:tab w:val="right" w:pos="9360"/>
      </w:tabs>
    </w:pPr>
  </w:style>
  <w:style w:type="character" w:customStyle="1" w:styleId="FooterChar">
    <w:name w:val="Footer Char"/>
    <w:basedOn w:val="DefaultParagraphFont"/>
    <w:link w:val="Footer"/>
    <w:uiPriority w:val="99"/>
    <w:rsid w:val="00CB0B72"/>
  </w:style>
  <w:style w:type="character" w:styleId="PageNumber">
    <w:name w:val="page number"/>
    <w:basedOn w:val="DefaultParagraphFont"/>
    <w:uiPriority w:val="99"/>
    <w:semiHidden/>
    <w:unhideWhenUsed/>
    <w:rsid w:val="00CB0B72"/>
  </w:style>
  <w:style w:type="paragraph" w:styleId="Title">
    <w:name w:val="Title"/>
    <w:basedOn w:val="Normal"/>
    <w:next w:val="Normal"/>
    <w:link w:val="TitleChar"/>
    <w:uiPriority w:val="10"/>
    <w:qFormat/>
    <w:rsid w:val="006E5145"/>
    <w:pPr>
      <w:contextualSpacing/>
    </w:pPr>
    <w:rPr>
      <w:rFonts w:asciiTheme="majorHAnsi" w:eastAsiaTheme="majorEastAsia" w:hAnsiTheme="majorHAnsi" w:cstheme="majorBidi"/>
      <w:spacing w:val="-10"/>
      <w:kern w:val="28"/>
      <w:sz w:val="40"/>
      <w:szCs w:val="56"/>
    </w:rPr>
  </w:style>
  <w:style w:type="paragraph" w:customStyle="1" w:styleId="epigram">
    <w:name w:val="epigram"/>
    <w:qFormat/>
    <w:rsid w:val="003154C3"/>
    <w:pPr>
      <w:jc w:val="right"/>
    </w:pPr>
    <w:rPr>
      <w:rFonts w:ascii="Times New Roman" w:eastAsia="Times New Roman" w:hAnsi="Times New Roman" w:cs="Times New Roman"/>
      <w:i/>
      <w:color w:val="1A1A1A"/>
      <w:sz w:val="22"/>
      <w:szCs w:val="25"/>
      <w:shd w:val="clear" w:color="auto" w:fill="FFFFFF"/>
    </w:rPr>
  </w:style>
  <w:style w:type="character" w:customStyle="1" w:styleId="TitleChar">
    <w:name w:val="Title Char"/>
    <w:basedOn w:val="DefaultParagraphFont"/>
    <w:link w:val="Title"/>
    <w:uiPriority w:val="10"/>
    <w:rsid w:val="006E5145"/>
    <w:rPr>
      <w:rFonts w:asciiTheme="majorHAnsi" w:eastAsiaTheme="majorEastAsia" w:hAnsiTheme="majorHAnsi" w:cstheme="majorBidi"/>
      <w:spacing w:val="-10"/>
      <w:kern w:val="28"/>
      <w:sz w:val="40"/>
      <w:szCs w:val="56"/>
    </w:rPr>
  </w:style>
  <w:style w:type="paragraph" w:styleId="FootnoteText">
    <w:name w:val="footnote text"/>
    <w:basedOn w:val="Normal"/>
    <w:link w:val="FootnoteTextChar"/>
    <w:uiPriority w:val="99"/>
    <w:semiHidden/>
    <w:unhideWhenUsed/>
    <w:rsid w:val="00633410"/>
    <w:rPr>
      <w:sz w:val="18"/>
      <w:szCs w:val="20"/>
    </w:rPr>
  </w:style>
  <w:style w:type="character" w:customStyle="1" w:styleId="FootnoteTextChar">
    <w:name w:val="Footnote Text Char"/>
    <w:basedOn w:val="DefaultParagraphFont"/>
    <w:link w:val="FootnoteText"/>
    <w:uiPriority w:val="99"/>
    <w:semiHidden/>
    <w:rsid w:val="00633410"/>
    <w:rPr>
      <w:rFonts w:ascii="Times New Roman" w:hAnsi="Times New Roman"/>
      <w:sz w:val="18"/>
      <w:szCs w:val="20"/>
    </w:rPr>
  </w:style>
  <w:style w:type="character" w:styleId="FootnoteReference">
    <w:name w:val="footnote reference"/>
    <w:basedOn w:val="DefaultParagraphFont"/>
    <w:uiPriority w:val="99"/>
    <w:unhideWhenUsed/>
    <w:rsid w:val="00307942"/>
    <w:rPr>
      <w:vertAlign w:val="superscript"/>
    </w:rPr>
  </w:style>
  <w:style w:type="character" w:customStyle="1" w:styleId="epub-i">
    <w:name w:val="epub-i"/>
    <w:basedOn w:val="DefaultParagraphFont"/>
    <w:rsid w:val="0016080E"/>
  </w:style>
  <w:style w:type="character" w:styleId="UnresolvedMention">
    <w:name w:val="Unresolved Mention"/>
    <w:basedOn w:val="DefaultParagraphFont"/>
    <w:uiPriority w:val="99"/>
    <w:semiHidden/>
    <w:unhideWhenUsed/>
    <w:rsid w:val="0099415B"/>
    <w:rPr>
      <w:color w:val="605E5C"/>
      <w:shd w:val="clear" w:color="auto" w:fill="E1DFDD"/>
    </w:rPr>
  </w:style>
  <w:style w:type="paragraph" w:customStyle="1" w:styleId="Default">
    <w:name w:val="Default"/>
    <w:rsid w:val="003B2D63"/>
    <w:pPr>
      <w:autoSpaceDE w:val="0"/>
      <w:autoSpaceDN w:val="0"/>
      <w:adjustRightInd w:val="0"/>
    </w:pPr>
    <w:rPr>
      <w:rFonts w:ascii="Times New Roman" w:hAnsi="Times New Roman" w:cs="Times New Roman"/>
      <w:color w:val="000000"/>
    </w:rPr>
  </w:style>
  <w:style w:type="paragraph" w:styleId="NoSpacing">
    <w:name w:val="No Spacing"/>
    <w:uiPriority w:val="1"/>
    <w:qFormat/>
    <w:rsid w:val="003141B2"/>
    <w:rPr>
      <w:rFonts w:ascii="Times New Roman" w:hAnsi="Times New Roman"/>
    </w:rPr>
  </w:style>
  <w:style w:type="paragraph" w:styleId="CommentSubject">
    <w:name w:val="annotation subject"/>
    <w:basedOn w:val="CommentText"/>
    <w:next w:val="CommentText"/>
    <w:link w:val="CommentSubjectChar"/>
    <w:uiPriority w:val="99"/>
    <w:semiHidden/>
    <w:unhideWhenUsed/>
    <w:rsid w:val="00E60B7A"/>
    <w:rPr>
      <w:rFonts w:eastAsiaTheme="minorEastAsia" w:cstheme="minorBidi"/>
      <w:b/>
      <w:bCs/>
      <w:sz w:val="20"/>
      <w:szCs w:val="20"/>
    </w:rPr>
  </w:style>
  <w:style w:type="character" w:customStyle="1" w:styleId="CommentSubjectChar">
    <w:name w:val="Comment Subject Char"/>
    <w:basedOn w:val="CommentTextChar"/>
    <w:link w:val="CommentSubject"/>
    <w:uiPriority w:val="99"/>
    <w:semiHidden/>
    <w:rsid w:val="00E60B7A"/>
    <w:rPr>
      <w:rFonts w:ascii="Times New Roman" w:eastAsia="Times New Roman" w:hAnsi="Times New Roman" w:cs="Cambria"/>
      <w:b/>
      <w:bCs/>
      <w:sz w:val="20"/>
      <w:szCs w:val="20"/>
    </w:rPr>
  </w:style>
  <w:style w:type="paragraph" w:styleId="Revision">
    <w:name w:val="Revision"/>
    <w:hidden/>
    <w:uiPriority w:val="99"/>
    <w:semiHidden/>
    <w:rsid w:val="003C4C1D"/>
    <w:rPr>
      <w:rFonts w:ascii="Times New Roman" w:hAnsi="Times New Roman"/>
    </w:rPr>
  </w:style>
  <w:style w:type="paragraph" w:styleId="Header">
    <w:name w:val="header"/>
    <w:basedOn w:val="Normal"/>
    <w:link w:val="HeaderChar"/>
    <w:uiPriority w:val="99"/>
    <w:unhideWhenUsed/>
    <w:rsid w:val="00101786"/>
    <w:pPr>
      <w:tabs>
        <w:tab w:val="center" w:pos="4680"/>
        <w:tab w:val="right" w:pos="9360"/>
      </w:tabs>
    </w:pPr>
  </w:style>
  <w:style w:type="character" w:customStyle="1" w:styleId="HeaderChar">
    <w:name w:val="Header Char"/>
    <w:basedOn w:val="DefaultParagraphFont"/>
    <w:link w:val="Header"/>
    <w:uiPriority w:val="99"/>
    <w:rsid w:val="00101786"/>
    <w:rPr>
      <w:rFonts w:ascii="Times New Roman" w:hAnsi="Times New Roman"/>
    </w:rPr>
  </w:style>
  <w:style w:type="character" w:styleId="FollowedHyperlink">
    <w:name w:val="FollowedHyperlink"/>
    <w:basedOn w:val="DefaultParagraphFont"/>
    <w:uiPriority w:val="99"/>
    <w:semiHidden/>
    <w:unhideWhenUsed/>
    <w:rsid w:val="00CA4BA4"/>
    <w:rPr>
      <w:color w:val="800080" w:themeColor="followedHyperlink"/>
      <w:u w:val="single"/>
    </w:rPr>
  </w:style>
  <w:style w:type="character" w:styleId="HTMLCite">
    <w:name w:val="HTML Cite"/>
    <w:basedOn w:val="DefaultParagraphFont"/>
    <w:uiPriority w:val="99"/>
    <w:semiHidden/>
    <w:unhideWhenUsed/>
    <w:rsid w:val="00605F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757767">
      <w:bodyDiv w:val="1"/>
      <w:marLeft w:val="0"/>
      <w:marRight w:val="0"/>
      <w:marTop w:val="0"/>
      <w:marBottom w:val="0"/>
      <w:divBdr>
        <w:top w:val="none" w:sz="0" w:space="0" w:color="auto"/>
        <w:left w:val="none" w:sz="0" w:space="0" w:color="auto"/>
        <w:bottom w:val="none" w:sz="0" w:space="0" w:color="auto"/>
        <w:right w:val="none" w:sz="0" w:space="0" w:color="auto"/>
      </w:divBdr>
    </w:div>
    <w:div w:id="919758724">
      <w:bodyDiv w:val="1"/>
      <w:marLeft w:val="0"/>
      <w:marRight w:val="0"/>
      <w:marTop w:val="0"/>
      <w:marBottom w:val="0"/>
      <w:divBdr>
        <w:top w:val="none" w:sz="0" w:space="0" w:color="auto"/>
        <w:left w:val="none" w:sz="0" w:space="0" w:color="auto"/>
        <w:bottom w:val="none" w:sz="0" w:space="0" w:color="auto"/>
        <w:right w:val="none" w:sz="0" w:space="0" w:color="auto"/>
      </w:divBdr>
    </w:div>
    <w:div w:id="1480993934">
      <w:bodyDiv w:val="1"/>
      <w:marLeft w:val="0"/>
      <w:marRight w:val="0"/>
      <w:marTop w:val="0"/>
      <w:marBottom w:val="0"/>
      <w:divBdr>
        <w:top w:val="none" w:sz="0" w:space="0" w:color="auto"/>
        <w:left w:val="none" w:sz="0" w:space="0" w:color="auto"/>
        <w:bottom w:val="none" w:sz="0" w:space="0" w:color="auto"/>
        <w:right w:val="none" w:sz="0" w:space="0" w:color="auto"/>
      </w:divBdr>
    </w:div>
    <w:div w:id="1530487457">
      <w:bodyDiv w:val="1"/>
      <w:marLeft w:val="0"/>
      <w:marRight w:val="0"/>
      <w:marTop w:val="0"/>
      <w:marBottom w:val="0"/>
      <w:divBdr>
        <w:top w:val="none" w:sz="0" w:space="0" w:color="auto"/>
        <w:left w:val="none" w:sz="0" w:space="0" w:color="auto"/>
        <w:bottom w:val="none" w:sz="0" w:space="0" w:color="auto"/>
        <w:right w:val="none" w:sz="0" w:space="0" w:color="auto"/>
      </w:divBdr>
    </w:div>
    <w:div w:id="1837381177">
      <w:bodyDiv w:val="1"/>
      <w:marLeft w:val="0"/>
      <w:marRight w:val="0"/>
      <w:marTop w:val="0"/>
      <w:marBottom w:val="0"/>
      <w:divBdr>
        <w:top w:val="none" w:sz="0" w:space="0" w:color="auto"/>
        <w:left w:val="none" w:sz="0" w:space="0" w:color="auto"/>
        <w:bottom w:val="none" w:sz="0" w:space="0" w:color="auto"/>
        <w:right w:val="none" w:sz="0" w:space="0" w:color="auto"/>
      </w:divBdr>
      <w:divsChild>
        <w:div w:id="162797">
          <w:marLeft w:val="0"/>
          <w:marRight w:val="0"/>
          <w:marTop w:val="0"/>
          <w:marBottom w:val="0"/>
          <w:divBdr>
            <w:top w:val="none" w:sz="0" w:space="0" w:color="auto"/>
            <w:left w:val="none" w:sz="0" w:space="0" w:color="auto"/>
            <w:bottom w:val="none" w:sz="0" w:space="0" w:color="auto"/>
            <w:right w:val="none" w:sz="0" w:space="0" w:color="auto"/>
          </w:divBdr>
          <w:divsChild>
            <w:div w:id="737703140">
              <w:marLeft w:val="0"/>
              <w:marRight w:val="0"/>
              <w:marTop w:val="0"/>
              <w:marBottom w:val="0"/>
              <w:divBdr>
                <w:top w:val="none" w:sz="0" w:space="0" w:color="auto"/>
                <w:left w:val="none" w:sz="0" w:space="0" w:color="auto"/>
                <w:bottom w:val="none" w:sz="0" w:space="0" w:color="auto"/>
                <w:right w:val="none" w:sz="0" w:space="0" w:color="auto"/>
              </w:divBdr>
              <w:divsChild>
                <w:div w:id="2554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529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es.ed.gov/collegenavigator/"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xkcd.com/773/"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DC008-0824-304D-B1AE-7264E83BD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34</Pages>
  <Words>14547</Words>
  <Characters>82918</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 author</dc:creator>
  <cp:keywords/>
  <dc:description/>
  <cp:lastModifiedBy>Lisa K Meloncon</cp:lastModifiedBy>
  <cp:revision>83</cp:revision>
  <dcterms:created xsi:type="dcterms:W3CDTF">2023-03-21T23:59:00Z</dcterms:created>
  <dcterms:modified xsi:type="dcterms:W3CDTF">2025-06-07T17:04:00Z</dcterms:modified>
</cp:coreProperties>
</file>